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D446" w14:textId="0CC73AA3" w:rsidR="0016136B" w:rsidRPr="00373AB4" w:rsidRDefault="00A9282A" w:rsidP="002F160D">
      <w:pPr>
        <w:ind w:left="2124"/>
        <w:rPr>
          <w:b/>
          <w:bCs/>
        </w:rPr>
      </w:pPr>
      <w:r w:rsidRPr="00373AB4">
        <w:rPr>
          <w:rFonts w:ascii="Tahoma" w:eastAsia="Times New Roman" w:hAnsi="Tahoma" w:cs="Tahoma"/>
          <w:b/>
          <w:bCs/>
          <w:noProof/>
          <w:kern w:val="1"/>
          <w:szCs w:val="20"/>
          <w:lang w:eastAsia="fr-FR"/>
          <w14:ligatures w14:val="none"/>
        </w:rPr>
        <mc:AlternateContent>
          <mc:Choice Requires="wps">
            <w:drawing>
              <wp:anchor distT="0" distB="0" distL="114935" distR="114935" simplePos="0" relativeHeight="251659264" behindDoc="0" locked="0" layoutInCell="1" allowOverlap="1" wp14:anchorId="40F3CEFA" wp14:editId="09EA1EFD">
                <wp:simplePos x="0" y="0"/>
                <wp:positionH relativeFrom="margin">
                  <wp:posOffset>-99695</wp:posOffset>
                </wp:positionH>
                <wp:positionV relativeFrom="margin">
                  <wp:posOffset>-724535</wp:posOffset>
                </wp:positionV>
                <wp:extent cx="68580" cy="198120"/>
                <wp:effectExtent l="0" t="0" r="762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375AC" w14:textId="77777777" w:rsidR="0016136B" w:rsidRDefault="0016136B" w:rsidP="001613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3CEFA" id="_x0000_t202" coordsize="21600,21600" o:spt="202" path="m,l,21600r21600,l21600,xe">
                <v:stroke joinstyle="miter"/>
                <v:path gradientshapeok="t" o:connecttype="rect"/>
              </v:shapetype>
              <v:shape id="Text Box 2" o:spid="_x0000_s1026" type="#_x0000_t202" style="position:absolute;left:0;text-align:left;margin-left:-7.85pt;margin-top:-57.05pt;width:5.4pt;height:15.6pt;flip:y;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" stroked="f">
                <v:textbox inset="0,0,0,0">
                  <w:txbxContent>
                    <w:p w14:paraId="0C1375AC" w14:textId="77777777" w:rsidR="0016136B" w:rsidRDefault="0016136B" w:rsidP="0016136B"/>
                  </w:txbxContent>
                </v:textbox>
                <w10:wrap type="square" anchorx="margin" anchory="margin"/>
              </v:shape>
            </w:pict>
          </mc:Fallback>
        </mc:AlternateContent>
      </w:r>
      <w:r w:rsidR="00AD0D0B">
        <w:rPr>
          <w:noProof/>
        </w:rPr>
        <w:t xml:space="preserve">                                                                               </w:t>
      </w:r>
      <w:r w:rsidR="00AD0D0B">
        <w:rPr>
          <w:noProof/>
          <w:lang w:eastAsia="fr-FR"/>
        </w:rPr>
        <w:drawing>
          <wp:inline distT="0" distB="0" distL="0" distR="0" wp14:anchorId="4181C037" wp14:editId="2696611F">
            <wp:extent cx="1525149" cy="579120"/>
            <wp:effectExtent l="0" t="0" r="0" b="0"/>
            <wp:docPr id="6157961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2127" cy="615944"/>
                    </a:xfrm>
                    <a:prstGeom prst="rect">
                      <a:avLst/>
                    </a:prstGeom>
                    <a:noFill/>
                    <a:ln>
                      <a:noFill/>
                    </a:ln>
                  </pic:spPr>
                </pic:pic>
              </a:graphicData>
            </a:graphic>
          </wp:inline>
        </w:drawing>
      </w:r>
    </w:p>
    <w:p w14:paraId="7FB255A5" w14:textId="2829D26F" w:rsidR="0016136B" w:rsidRPr="00373AB4" w:rsidRDefault="0016136B" w:rsidP="0016136B">
      <w:pPr>
        <w:pBdr>
          <w:top w:val="single" w:sz="12" w:space="1" w:color="000080"/>
          <w:left w:val="single" w:sz="12" w:space="4" w:color="000080"/>
          <w:bottom w:val="single" w:sz="12" w:space="1" w:color="000080"/>
          <w:right w:val="single" w:sz="12" w:space="4" w:color="000080"/>
        </w:pBdr>
        <w:suppressAutoHyphens/>
        <w:spacing w:before="120" w:after="200" w:line="240" w:lineRule="auto"/>
        <w:jc w:val="center"/>
        <w:rPr>
          <w:rFonts w:ascii="Arial" w:eastAsia="Times New Roman" w:hAnsi="Arial" w:cs="Arial"/>
          <w:b/>
          <w:bCs/>
          <w:smallCaps/>
          <w:kern w:val="1"/>
          <w:sz w:val="28"/>
          <w:szCs w:val="28"/>
          <w:lang w:eastAsia="fr-FR"/>
          <w14:ligatures w14:val="none"/>
        </w:rPr>
      </w:pPr>
    </w:p>
    <w:p w14:paraId="778CA16F" w14:textId="77777777" w:rsidR="0016136B" w:rsidRPr="00373AB4" w:rsidRDefault="0016136B" w:rsidP="0016136B">
      <w:pPr>
        <w:pBdr>
          <w:top w:val="single" w:sz="12" w:space="1" w:color="000080"/>
          <w:left w:val="single" w:sz="12" w:space="4" w:color="000080"/>
          <w:bottom w:val="single" w:sz="12" w:space="1" w:color="000080"/>
          <w:right w:val="single" w:sz="12" w:space="4" w:color="000080"/>
        </w:pBdr>
        <w:suppressAutoHyphens/>
        <w:spacing w:before="120" w:after="200" w:line="240" w:lineRule="auto"/>
        <w:jc w:val="center"/>
        <w:rPr>
          <w:rFonts w:ascii="Arial" w:eastAsia="Times New Roman" w:hAnsi="Arial" w:cs="Arial"/>
          <w:b/>
          <w:bCs/>
          <w:kern w:val="1"/>
          <w:sz w:val="28"/>
          <w:szCs w:val="28"/>
          <w:lang w:eastAsia="zh-CN" w:bidi="en-US"/>
          <w14:ligatures w14:val="none"/>
        </w:rPr>
      </w:pPr>
      <w:r w:rsidRPr="00373AB4">
        <w:rPr>
          <w:rFonts w:ascii="Arial" w:eastAsia="Times New Roman" w:hAnsi="Arial" w:cs="Arial"/>
          <w:b/>
          <w:bCs/>
          <w:smallCaps/>
          <w:kern w:val="1"/>
          <w:sz w:val="28"/>
          <w:szCs w:val="28"/>
          <w:lang w:eastAsia="zh-CN" w:bidi="en-US"/>
          <w14:ligatures w14:val="none"/>
        </w:rPr>
        <w:t>CONVENTION DE PARTENARIAT</w:t>
      </w:r>
      <w:r w:rsidRPr="00373AB4">
        <w:rPr>
          <w:rFonts w:ascii="Arial" w:eastAsia="Times New Roman" w:hAnsi="Arial" w:cs="Arial"/>
          <w:b/>
          <w:bCs/>
          <w:kern w:val="1"/>
          <w:sz w:val="28"/>
          <w:szCs w:val="28"/>
          <w:lang w:eastAsia="zh-CN" w:bidi="en-US"/>
          <w14:ligatures w14:val="none"/>
        </w:rPr>
        <w:br/>
      </w:r>
    </w:p>
    <w:p w14:paraId="691A2153" w14:textId="0FEABC43" w:rsidR="0016136B" w:rsidRPr="00373AB4" w:rsidRDefault="0016136B" w:rsidP="0016136B">
      <w:pPr>
        <w:pBdr>
          <w:top w:val="single" w:sz="12" w:space="1" w:color="000080"/>
          <w:left w:val="single" w:sz="12" w:space="4" w:color="000080"/>
          <w:bottom w:val="single" w:sz="12" w:space="1" w:color="000080"/>
          <w:right w:val="single" w:sz="12" w:space="4" w:color="000080"/>
        </w:pBdr>
        <w:suppressAutoHyphens/>
        <w:spacing w:before="120" w:after="200" w:line="240" w:lineRule="auto"/>
        <w:jc w:val="center"/>
        <w:rPr>
          <w:rFonts w:ascii="Arial" w:eastAsia="Times New Roman" w:hAnsi="Arial" w:cs="Arial"/>
          <w:b/>
          <w:bCs/>
          <w:smallCaps/>
          <w:color w:val="548DD4"/>
          <w:kern w:val="1"/>
          <w:sz w:val="28"/>
          <w:szCs w:val="28"/>
          <w:lang w:eastAsia="zh-CN" w:bidi="en-US"/>
          <w14:ligatures w14:val="none"/>
        </w:rPr>
      </w:pPr>
      <w:r w:rsidRPr="00373AB4">
        <w:rPr>
          <w:rFonts w:ascii="Arial" w:eastAsia="Times New Roman" w:hAnsi="Arial" w:cs="Arial"/>
          <w:b/>
          <w:bCs/>
          <w:color w:val="548DD4"/>
          <w:kern w:val="1"/>
          <w:sz w:val="28"/>
          <w:szCs w:val="28"/>
          <w:lang w:eastAsia="zh-CN" w:bidi="en-US"/>
          <w14:ligatures w14:val="none"/>
        </w:rPr>
        <w:t xml:space="preserve">Nom du </w:t>
      </w:r>
      <w:r w:rsidR="00A91FC7">
        <w:rPr>
          <w:rFonts w:ascii="Arial" w:eastAsia="Times New Roman" w:hAnsi="Arial" w:cs="Arial"/>
          <w:b/>
          <w:bCs/>
          <w:color w:val="548DD4"/>
          <w:kern w:val="1"/>
          <w:sz w:val="28"/>
          <w:szCs w:val="28"/>
          <w:lang w:eastAsia="zh-CN" w:bidi="en-US"/>
          <w14:ligatures w14:val="none"/>
        </w:rPr>
        <w:t>Donneur d’</w:t>
      </w:r>
      <w:proofErr w:type="spellStart"/>
      <w:r w:rsidR="00A91FC7">
        <w:rPr>
          <w:rFonts w:ascii="Arial" w:eastAsia="Times New Roman" w:hAnsi="Arial" w:cs="Arial"/>
          <w:b/>
          <w:bCs/>
          <w:color w:val="548DD4"/>
          <w:kern w:val="1"/>
          <w:sz w:val="28"/>
          <w:szCs w:val="28"/>
          <w:lang w:eastAsia="zh-CN" w:bidi="en-US"/>
          <w14:ligatures w14:val="none"/>
        </w:rPr>
        <w:t>Odre</w:t>
      </w:r>
      <w:proofErr w:type="spellEnd"/>
    </w:p>
    <w:p w14:paraId="2A7D4CB0" w14:textId="68FE9D3F" w:rsidR="0016136B" w:rsidRPr="00373AB4" w:rsidRDefault="003126C2" w:rsidP="0016136B">
      <w:pPr>
        <w:pBdr>
          <w:top w:val="single" w:sz="12" w:space="1" w:color="000080"/>
          <w:left w:val="single" w:sz="12" w:space="4" w:color="000080"/>
          <w:bottom w:val="single" w:sz="12" w:space="1" w:color="000080"/>
          <w:right w:val="single" w:sz="12" w:space="4" w:color="000080"/>
        </w:pBdr>
        <w:suppressAutoHyphens/>
        <w:spacing w:before="200" w:after="0" w:line="240" w:lineRule="auto"/>
        <w:jc w:val="center"/>
        <w:rPr>
          <w:rFonts w:ascii="Arial" w:eastAsia="Times New Roman" w:hAnsi="Arial" w:cs="Arial"/>
          <w:b/>
          <w:bCs/>
          <w:smallCaps/>
          <w:kern w:val="1"/>
          <w:sz w:val="28"/>
          <w:szCs w:val="28"/>
          <w:lang w:eastAsia="zh-CN" w:bidi="en-US"/>
          <w14:ligatures w14:val="none"/>
        </w:rPr>
      </w:pPr>
      <w:r>
        <w:rPr>
          <w:rFonts w:ascii="Arial" w:eastAsia="Times New Roman" w:hAnsi="Arial" w:cs="Arial"/>
          <w:b/>
          <w:bCs/>
          <w:smallCaps/>
          <w:color w:val="00B050"/>
          <w:kern w:val="1"/>
          <w:sz w:val="28"/>
          <w:szCs w:val="28"/>
          <w:lang w:eastAsia="zh-CN" w:bidi="en-US"/>
          <w14:ligatures w14:val="none"/>
        </w:rPr>
        <w:t xml:space="preserve">Nom structure porteuse clause </w:t>
      </w:r>
    </w:p>
    <w:p w14:paraId="0B35B528" w14:textId="77777777" w:rsidR="000E5BBD" w:rsidRPr="00373AB4" w:rsidRDefault="000E5BBD" w:rsidP="000E5BBD">
      <w:pPr>
        <w:pBdr>
          <w:top w:val="single" w:sz="12" w:space="1" w:color="000080"/>
          <w:left w:val="single" w:sz="12" w:space="4" w:color="000080"/>
          <w:bottom w:val="single" w:sz="12" w:space="1" w:color="000080"/>
          <w:right w:val="single" w:sz="12" w:space="4" w:color="000080"/>
        </w:pBdr>
        <w:suppressAutoHyphens/>
        <w:spacing w:before="200" w:after="0" w:line="240" w:lineRule="auto"/>
        <w:jc w:val="center"/>
        <w:rPr>
          <w:rFonts w:ascii="Tahoma" w:eastAsia="Times New Roman" w:hAnsi="Tahoma" w:cs="Tahoma"/>
          <w:b/>
          <w:bCs/>
          <w:smallCaps/>
          <w:kern w:val="1"/>
          <w:sz w:val="24"/>
          <w:szCs w:val="20"/>
          <w:lang w:eastAsia="zh-CN" w:bidi="en-US"/>
          <w14:ligatures w14:val="none"/>
        </w:rPr>
      </w:pPr>
      <w:r w:rsidRPr="00373AB4">
        <w:rPr>
          <w:rFonts w:ascii="Arial" w:eastAsia="Times New Roman" w:hAnsi="Arial" w:cs="Arial"/>
          <w:bCs/>
          <w:i/>
          <w:smallCaps/>
          <w:kern w:val="1"/>
          <w:sz w:val="28"/>
          <w:szCs w:val="28"/>
          <w:lang w:eastAsia="zh-CN" w:bidi="en-US"/>
          <w14:ligatures w14:val="none"/>
        </w:rPr>
        <w:t xml:space="preserve">Développement des </w:t>
      </w:r>
      <w:r>
        <w:rPr>
          <w:rFonts w:ascii="Arial" w:eastAsia="Times New Roman" w:hAnsi="Arial" w:cs="Arial"/>
          <w:bCs/>
          <w:i/>
          <w:smallCaps/>
          <w:kern w:val="1"/>
          <w:sz w:val="28"/>
          <w:szCs w:val="28"/>
          <w:lang w:eastAsia="zh-CN" w:bidi="en-US"/>
          <w14:ligatures w14:val="none"/>
        </w:rPr>
        <w:t>achats socialement responsables</w:t>
      </w:r>
    </w:p>
    <w:p w14:paraId="5A043FFE" w14:textId="77777777" w:rsidR="0016136B" w:rsidRPr="00373AB4" w:rsidRDefault="0016136B" w:rsidP="0016136B">
      <w:pPr>
        <w:suppressAutoHyphens/>
        <w:spacing w:before="200" w:after="200" w:line="276" w:lineRule="auto"/>
        <w:jc w:val="both"/>
        <w:rPr>
          <w:rFonts w:ascii="Arial" w:eastAsia="Times New Roman" w:hAnsi="Arial" w:cs="Arial"/>
          <w:kern w:val="1"/>
          <w:lang w:eastAsia="zh-CN" w:bidi="en-US"/>
          <w14:ligatures w14:val="none"/>
        </w:rPr>
      </w:pPr>
    </w:p>
    <w:p w14:paraId="7017DDF8" w14:textId="77777777" w:rsidR="0016136B" w:rsidRPr="00373AB4" w:rsidRDefault="0016136B" w:rsidP="0016136B">
      <w:pPr>
        <w:suppressAutoHyphens/>
        <w:spacing w:before="200" w:after="200" w:line="276" w:lineRule="auto"/>
        <w:jc w:val="both"/>
        <w:rPr>
          <w:rFonts w:ascii="Arial" w:eastAsia="Times New Roman" w:hAnsi="Arial" w:cs="Arial"/>
          <w:b/>
          <w:kern w:val="1"/>
          <w:lang w:eastAsia="zh-CN" w:bidi="en-US"/>
          <w14:ligatures w14:val="none"/>
        </w:rPr>
      </w:pPr>
      <w:r w:rsidRPr="00373AB4">
        <w:rPr>
          <w:rFonts w:ascii="Arial" w:eastAsia="Times New Roman" w:hAnsi="Arial" w:cs="Arial"/>
          <w:kern w:val="1"/>
          <w:lang w:eastAsia="zh-CN" w:bidi="en-US"/>
          <w14:ligatures w14:val="none"/>
        </w:rPr>
        <w:t>Entre :</w:t>
      </w:r>
    </w:p>
    <w:p w14:paraId="5EAB661B" w14:textId="4D66E49A" w:rsidR="0016136B" w:rsidRPr="00373AB4" w:rsidRDefault="0016136B" w:rsidP="0016136B">
      <w:p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Le</w:t>
      </w:r>
      <w:r w:rsidRPr="00373AB4">
        <w:rPr>
          <w:rFonts w:ascii="Arial" w:eastAsia="Times New Roman" w:hAnsi="Arial" w:cs="Arial"/>
          <w:b/>
          <w:color w:val="FF0000"/>
          <w:kern w:val="1"/>
          <w:lang w:eastAsia="zh-CN" w:bidi="en-US"/>
          <w14:ligatures w14:val="none"/>
        </w:rPr>
        <w:t xml:space="preserve"> </w:t>
      </w:r>
      <w:bookmarkStart w:id="0" w:name="_Hlk196401076"/>
      <w:r w:rsidR="00A91FC7">
        <w:rPr>
          <w:rFonts w:ascii="Arial" w:eastAsia="Times New Roman" w:hAnsi="Arial" w:cs="Arial"/>
          <w:color w:val="548DD4"/>
          <w:kern w:val="1"/>
          <w:lang w:eastAsia="zh-CN" w:bidi="en-US"/>
          <w14:ligatures w14:val="none"/>
        </w:rPr>
        <w:t>Donneur d’Ordre</w:t>
      </w:r>
      <w:bookmarkEnd w:id="0"/>
      <w:r w:rsidR="00F1019A" w:rsidRPr="00F1019A">
        <w:rPr>
          <w:rFonts w:ascii="Arial" w:eastAsia="Times New Roman" w:hAnsi="Arial" w:cs="Arial"/>
          <w:kern w:val="1"/>
          <w:lang w:eastAsia="zh-CN" w:bidi="en-US"/>
          <w14:ligatures w14:val="none"/>
        </w:rPr>
        <w:t>,</w:t>
      </w:r>
      <w:r w:rsidRPr="00373AB4">
        <w:rPr>
          <w:rFonts w:ascii="Arial" w:eastAsia="Times New Roman" w:hAnsi="Arial" w:cs="Arial"/>
          <w:color w:val="FF0000"/>
          <w:kern w:val="1"/>
          <w:lang w:eastAsia="zh-CN" w:bidi="en-US"/>
          <w14:ligatures w14:val="none"/>
        </w:rPr>
        <w:t xml:space="preserve"> </w:t>
      </w:r>
      <w:r w:rsidRPr="00FB075D">
        <w:rPr>
          <w:rFonts w:ascii="Arial" w:eastAsia="Times New Roman" w:hAnsi="Arial" w:cs="Arial"/>
          <w:color w:val="2F5496" w:themeColor="accent1" w:themeShade="BF"/>
          <w:kern w:val="1"/>
          <w:lang w:eastAsia="zh-CN" w:bidi="en-US"/>
          <w14:ligatures w14:val="none"/>
        </w:rPr>
        <w:t>adresse</w:t>
      </w:r>
      <w:r w:rsidRPr="00F1019A">
        <w:rPr>
          <w:rFonts w:ascii="Arial" w:eastAsia="Times New Roman" w:hAnsi="Arial" w:cs="Arial"/>
          <w:kern w:val="1"/>
          <w:lang w:eastAsia="zh-CN" w:bidi="en-US"/>
          <w14:ligatures w14:val="none"/>
        </w:rPr>
        <w:t>,</w:t>
      </w:r>
      <w:r w:rsidRPr="00373AB4">
        <w:rPr>
          <w:rFonts w:ascii="Arial" w:eastAsia="Times New Roman" w:hAnsi="Arial" w:cs="Arial"/>
          <w:color w:val="FF0000"/>
          <w:kern w:val="1"/>
          <w:lang w:eastAsia="zh-CN" w:bidi="en-US"/>
          <w14:ligatures w14:val="none"/>
        </w:rPr>
        <w:t xml:space="preserve"> </w:t>
      </w:r>
      <w:r w:rsidRPr="00373AB4">
        <w:rPr>
          <w:rFonts w:ascii="Arial" w:eastAsia="Times New Roman" w:hAnsi="Arial" w:cs="Arial"/>
          <w:kern w:val="1"/>
          <w:lang w:eastAsia="zh-CN" w:bidi="en-US"/>
          <w14:ligatures w14:val="none"/>
        </w:rPr>
        <w:t xml:space="preserve">représenté par </w:t>
      </w:r>
      <w:proofErr w:type="gramStart"/>
      <w:r w:rsidR="003126C2" w:rsidRPr="003126C2">
        <w:rPr>
          <w:rFonts w:ascii="Arial" w:eastAsia="Times New Roman" w:hAnsi="Arial" w:cs="Arial"/>
          <w:color w:val="8EAADB" w:themeColor="accent1" w:themeTint="99"/>
          <w:kern w:val="1"/>
          <w:lang w:eastAsia="zh-CN" w:bidi="en-US"/>
          <w14:ligatures w14:val="none"/>
        </w:rPr>
        <w:t>XXXXX</w:t>
      </w:r>
      <w:r w:rsidRPr="00373AB4">
        <w:rPr>
          <w:rFonts w:ascii="Arial" w:eastAsia="Times New Roman" w:hAnsi="Arial" w:cs="Arial"/>
          <w:kern w:val="1"/>
          <w:lang w:eastAsia="zh-CN" w:bidi="en-US"/>
          <w14:ligatures w14:val="none"/>
        </w:rPr>
        <w:t xml:space="preserve"> ,</w:t>
      </w:r>
      <w:proofErr w:type="gramEnd"/>
      <w:r w:rsidRPr="00373AB4">
        <w:rPr>
          <w:rFonts w:ascii="Arial" w:eastAsia="Times New Roman" w:hAnsi="Arial" w:cs="Arial"/>
          <w:kern w:val="1"/>
          <w:lang w:eastAsia="zh-CN" w:bidi="en-US"/>
          <w14:ligatures w14:val="none"/>
        </w:rPr>
        <w:t xml:space="preserve"> Directeur Général, d’une part</w:t>
      </w:r>
    </w:p>
    <w:p w14:paraId="7079131D" w14:textId="77777777" w:rsidR="0016136B" w:rsidRPr="00373AB4" w:rsidRDefault="0016136B" w:rsidP="0016136B">
      <w:pPr>
        <w:suppressAutoHyphens/>
        <w:spacing w:before="200" w:after="200" w:line="276" w:lineRule="auto"/>
        <w:jc w:val="both"/>
        <w:rPr>
          <w:rFonts w:ascii="Arial" w:eastAsia="Arial" w:hAnsi="Arial" w:cs="Arial"/>
          <w:b/>
          <w:kern w:val="1"/>
          <w:lang w:eastAsia="zh-CN" w:bidi="en-US"/>
          <w14:ligatures w14:val="none"/>
        </w:rPr>
      </w:pPr>
      <w:proofErr w:type="gramStart"/>
      <w:r w:rsidRPr="00373AB4">
        <w:rPr>
          <w:rFonts w:ascii="Arial" w:eastAsia="Times New Roman" w:hAnsi="Arial" w:cs="Arial"/>
          <w:kern w:val="1"/>
          <w:lang w:eastAsia="zh-CN" w:bidi="en-US"/>
          <w14:ligatures w14:val="none"/>
        </w:rPr>
        <w:t>et</w:t>
      </w:r>
      <w:proofErr w:type="gramEnd"/>
    </w:p>
    <w:p w14:paraId="6FDF42A8" w14:textId="3959453A" w:rsidR="0016136B" w:rsidRPr="00373AB4" w:rsidRDefault="0016136B" w:rsidP="0016136B">
      <w:pPr>
        <w:suppressAutoHyphens/>
        <w:spacing w:before="200" w:after="200" w:line="276" w:lineRule="auto"/>
        <w:jc w:val="both"/>
        <w:rPr>
          <w:rFonts w:ascii="Arial" w:eastAsia="Times New Roman" w:hAnsi="Arial" w:cs="Arial"/>
          <w:kern w:val="1"/>
          <w:lang w:eastAsia="zh-CN" w:bidi="en-US"/>
          <w14:ligatures w14:val="none"/>
        </w:rPr>
      </w:pPr>
      <w:r w:rsidRPr="00FB075D">
        <w:rPr>
          <w:rFonts w:ascii="Arial" w:eastAsia="Times New Roman" w:hAnsi="Arial" w:cs="Arial"/>
          <w:kern w:val="1"/>
          <w:lang w:eastAsia="zh-CN" w:bidi="en-US"/>
          <w14:ligatures w14:val="none"/>
        </w:rPr>
        <w:t>La</w:t>
      </w:r>
      <w:r w:rsidR="003126C2">
        <w:rPr>
          <w:rFonts w:ascii="Arial" w:eastAsia="Times New Roman" w:hAnsi="Arial" w:cs="Arial"/>
          <w:kern w:val="1"/>
          <w:lang w:eastAsia="zh-CN" w:bidi="en-US"/>
          <w14:ligatures w14:val="none"/>
        </w:rPr>
        <w:t xml:space="preserve"> </w:t>
      </w:r>
      <w:bookmarkStart w:id="1" w:name="_Hlk192233075"/>
      <w:r w:rsidR="003126C2" w:rsidRPr="003126C2">
        <w:rPr>
          <w:rFonts w:ascii="Arial" w:eastAsia="Times New Roman" w:hAnsi="Arial" w:cs="Arial"/>
          <w:color w:val="00B050"/>
          <w:kern w:val="1"/>
          <w:lang w:eastAsia="zh-CN" w:bidi="en-US"/>
          <w14:ligatures w14:val="none"/>
        </w:rPr>
        <w:t>structure porteuse de la clause</w:t>
      </w:r>
      <w:bookmarkEnd w:id="1"/>
      <w:r w:rsidRPr="00373AB4">
        <w:rPr>
          <w:rFonts w:ascii="Arial" w:eastAsia="Times New Roman" w:hAnsi="Arial" w:cs="Arial"/>
          <w:kern w:val="1"/>
          <w:lang w:eastAsia="zh-CN" w:bidi="en-US"/>
          <w14:ligatures w14:val="none"/>
        </w:rPr>
        <w:t>, situé</w:t>
      </w:r>
      <w:r>
        <w:rPr>
          <w:rFonts w:ascii="Arial" w:eastAsia="Times New Roman" w:hAnsi="Arial" w:cs="Arial"/>
          <w:kern w:val="1"/>
          <w:lang w:eastAsia="zh-CN" w:bidi="en-US"/>
          <w14:ligatures w14:val="none"/>
        </w:rPr>
        <w:t>e 8 rue de la madeleine,80200 Péronne</w:t>
      </w:r>
      <w:r w:rsidRPr="00373AB4">
        <w:rPr>
          <w:rFonts w:ascii="Arial" w:eastAsia="Times New Roman" w:hAnsi="Arial" w:cs="Arial"/>
          <w:kern w:val="1"/>
          <w:lang w:eastAsia="zh-CN" w:bidi="en-US"/>
          <w14:ligatures w14:val="none"/>
        </w:rPr>
        <w:t>, représentée par</w:t>
      </w:r>
      <w:r w:rsidR="009E4C9D">
        <w:rPr>
          <w:rFonts w:ascii="Arial" w:eastAsia="Times New Roman" w:hAnsi="Arial" w:cs="Arial"/>
          <w:kern w:val="1"/>
          <w:lang w:eastAsia="zh-CN" w:bidi="en-US"/>
          <w14:ligatures w14:val="none"/>
        </w:rPr>
        <w:t xml:space="preserve"> </w:t>
      </w:r>
      <w:r w:rsidR="009E4C9D" w:rsidRPr="009E4C9D">
        <w:rPr>
          <w:rFonts w:ascii="Arial" w:eastAsia="Times New Roman" w:hAnsi="Arial" w:cs="Arial"/>
          <w:color w:val="00B050"/>
          <w:kern w:val="1"/>
          <w:lang w:eastAsia="zh-CN" w:bidi="en-US"/>
          <w14:ligatures w14:val="none"/>
        </w:rPr>
        <w:t>XXXXXX</w:t>
      </w:r>
      <w:r w:rsidR="00DA57EF">
        <w:rPr>
          <w:rFonts w:ascii="Arial" w:eastAsia="Times New Roman" w:hAnsi="Arial" w:cs="Arial"/>
          <w:kern w:val="1"/>
          <w:lang w:eastAsia="zh-CN" w:bidi="en-US"/>
          <w14:ligatures w14:val="none"/>
        </w:rPr>
        <w:t>, Directeur</w:t>
      </w:r>
      <w:r>
        <w:rPr>
          <w:rFonts w:ascii="Arial" w:eastAsia="Times New Roman" w:hAnsi="Arial" w:cs="Arial"/>
          <w:kern w:val="1"/>
          <w:lang w:eastAsia="zh-CN" w:bidi="en-US"/>
          <w14:ligatures w14:val="none"/>
        </w:rPr>
        <w:t xml:space="preserve"> </w:t>
      </w:r>
      <w:r w:rsidR="00DA57EF">
        <w:rPr>
          <w:rFonts w:ascii="Arial" w:eastAsia="Times New Roman" w:hAnsi="Arial" w:cs="Arial"/>
          <w:kern w:val="1"/>
          <w:lang w:eastAsia="zh-CN" w:bidi="en-US"/>
          <w14:ligatures w14:val="none"/>
        </w:rPr>
        <w:t>Général,</w:t>
      </w:r>
      <w:r>
        <w:rPr>
          <w:rFonts w:ascii="Arial" w:eastAsia="Times New Roman" w:hAnsi="Arial" w:cs="Arial"/>
          <w:kern w:val="1"/>
          <w:lang w:eastAsia="zh-CN" w:bidi="en-US"/>
          <w14:ligatures w14:val="none"/>
        </w:rPr>
        <w:t xml:space="preserve"> </w:t>
      </w:r>
      <w:r w:rsidRPr="00373AB4">
        <w:rPr>
          <w:rFonts w:ascii="Arial" w:eastAsia="Times New Roman" w:hAnsi="Arial" w:cs="Arial"/>
          <w:kern w:val="1"/>
          <w:lang w:eastAsia="zh-CN" w:bidi="en-US"/>
          <w14:ligatures w14:val="none"/>
        </w:rPr>
        <w:t>d’autre part,</w:t>
      </w:r>
    </w:p>
    <w:p w14:paraId="630D2270" w14:textId="77777777" w:rsidR="0016136B" w:rsidRPr="00373AB4" w:rsidRDefault="0016136B" w:rsidP="0016136B">
      <w:pPr>
        <w:suppressAutoHyphens/>
        <w:spacing w:before="200" w:after="200" w:line="276" w:lineRule="auto"/>
        <w:jc w:val="both"/>
        <w:rPr>
          <w:rFonts w:ascii="Arial" w:eastAsia="Times New Roman" w:hAnsi="Arial" w:cs="Arial"/>
          <w:b/>
          <w:kern w:val="1"/>
          <w:sz w:val="24"/>
          <w:szCs w:val="24"/>
          <w:u w:val="single"/>
          <w:lang w:eastAsia="zh-CN" w:bidi="en-US"/>
          <w14:ligatures w14:val="none"/>
        </w:rPr>
      </w:pPr>
      <w:r w:rsidRPr="00373AB4">
        <w:rPr>
          <w:rFonts w:ascii="Arial" w:eastAsia="Times New Roman" w:hAnsi="Arial" w:cs="Arial"/>
          <w:kern w:val="1"/>
          <w:lang w:eastAsia="zh-CN" w:bidi="en-US"/>
          <w14:ligatures w14:val="none"/>
        </w:rPr>
        <w:t>Il a été convenu ce qui suit :</w:t>
      </w:r>
    </w:p>
    <w:p w14:paraId="09EF02D3" w14:textId="77777777" w:rsidR="0016136B" w:rsidRPr="00373AB4" w:rsidRDefault="0016136B" w:rsidP="0016136B">
      <w:p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b/>
          <w:kern w:val="1"/>
          <w:sz w:val="24"/>
          <w:szCs w:val="24"/>
          <w:u w:val="single"/>
          <w:lang w:eastAsia="zh-CN" w:bidi="en-US"/>
          <w14:ligatures w14:val="none"/>
        </w:rPr>
        <w:t xml:space="preserve">Préambule </w:t>
      </w:r>
    </w:p>
    <w:p w14:paraId="4DBC3CAF" w14:textId="1FEB4767" w:rsidR="0016136B" w:rsidRPr="00822DB1" w:rsidRDefault="0016136B" w:rsidP="00822DB1">
      <w:pPr>
        <w:suppressAutoHyphens/>
        <w:spacing w:before="200" w:after="200" w:line="276" w:lineRule="auto"/>
        <w:jc w:val="both"/>
        <w:rPr>
          <w:rFonts w:ascii="Arial" w:eastAsia="Times New Roman" w:hAnsi="Arial" w:cs="Arial"/>
          <w:color w:val="548DD4"/>
          <w:kern w:val="1"/>
          <w:lang w:eastAsia="zh-CN" w:bidi="en-US"/>
          <w14:ligatures w14:val="none"/>
        </w:rPr>
      </w:pPr>
      <w:r w:rsidRPr="00373AB4">
        <w:rPr>
          <w:rFonts w:ascii="Arial" w:eastAsia="Times New Roman" w:hAnsi="Arial" w:cs="Arial"/>
          <w:color w:val="548DD4"/>
          <w:kern w:val="1"/>
          <w:lang w:eastAsia="zh-CN" w:bidi="en-US"/>
          <w14:ligatures w14:val="none"/>
        </w:rPr>
        <w:t xml:space="preserve">Présentation du </w:t>
      </w:r>
      <w:r w:rsidR="00A91FC7">
        <w:rPr>
          <w:rFonts w:ascii="Arial" w:eastAsia="Times New Roman" w:hAnsi="Arial" w:cs="Arial"/>
          <w:color w:val="548DD4"/>
          <w:kern w:val="1"/>
          <w:lang w:eastAsia="zh-CN" w:bidi="en-US"/>
          <w14:ligatures w14:val="none"/>
        </w:rPr>
        <w:t>Donneur d’Ordre</w:t>
      </w:r>
    </w:p>
    <w:p w14:paraId="4970F345" w14:textId="7D2A25B8" w:rsidR="0016136B" w:rsidRPr="00FB075D" w:rsidRDefault="009E4C9D" w:rsidP="0016136B">
      <w:pPr>
        <w:suppressAutoHyphens/>
        <w:spacing w:after="0" w:line="276" w:lineRule="auto"/>
        <w:jc w:val="both"/>
        <w:rPr>
          <w:rFonts w:ascii="Arial" w:eastAsia="Times New Roman" w:hAnsi="Arial" w:cs="Arial"/>
          <w:kern w:val="1"/>
          <w:lang w:eastAsia="zh-CN" w:bidi="en-US"/>
          <w14:ligatures w14:val="none"/>
        </w:rPr>
      </w:pPr>
      <w:r>
        <w:rPr>
          <w:rFonts w:ascii="Arial" w:eastAsia="Times New Roman" w:hAnsi="Arial" w:cs="Arial"/>
          <w:color w:val="00B050"/>
          <w:kern w:val="1"/>
          <w:lang w:eastAsia="zh-CN" w:bidi="en-US"/>
          <w14:ligatures w14:val="none"/>
        </w:rPr>
        <w:t>S</w:t>
      </w:r>
      <w:r w:rsidR="003126C2" w:rsidRPr="003126C2">
        <w:rPr>
          <w:rFonts w:ascii="Arial" w:eastAsia="Times New Roman" w:hAnsi="Arial" w:cs="Arial"/>
          <w:color w:val="00B050"/>
          <w:kern w:val="1"/>
          <w:lang w:eastAsia="zh-CN" w:bidi="en-US"/>
          <w14:ligatures w14:val="none"/>
        </w:rPr>
        <w:t>tructure porteuse de la clause</w:t>
      </w:r>
    </w:p>
    <w:p w14:paraId="0D3174E9" w14:textId="77777777" w:rsidR="0016136B" w:rsidRPr="00373AB4" w:rsidRDefault="0016136B" w:rsidP="0016136B">
      <w:pPr>
        <w:suppressAutoHyphens/>
        <w:spacing w:before="48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b/>
          <w:kern w:val="1"/>
          <w:sz w:val="24"/>
          <w:szCs w:val="24"/>
          <w:u w:val="single"/>
          <w:lang w:eastAsia="zh-CN" w:bidi="en-US"/>
          <w14:ligatures w14:val="none"/>
        </w:rPr>
        <w:t>Article I – Objet de la convention</w:t>
      </w:r>
    </w:p>
    <w:p w14:paraId="3D5ED620" w14:textId="6131127A"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 xml:space="preserve">La présente convention vise à instaurer un partenariat entre le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et la </w:t>
      </w:r>
      <w:r w:rsidR="003126C2" w:rsidRPr="003126C2">
        <w:rPr>
          <w:rFonts w:ascii="Arial" w:eastAsia="Times New Roman" w:hAnsi="Arial" w:cs="Arial"/>
          <w:color w:val="00B050"/>
          <w:kern w:val="1"/>
          <w:lang w:eastAsia="zh-CN" w:bidi="en-US"/>
          <w14:ligatures w14:val="none"/>
        </w:rPr>
        <w:t>structure porteuse de la clause</w:t>
      </w:r>
      <w:r w:rsidRPr="00373AB4">
        <w:rPr>
          <w:rFonts w:ascii="Arial" w:eastAsia="Times New Roman" w:hAnsi="Arial" w:cs="Arial"/>
          <w:color w:val="00B050"/>
          <w:kern w:val="1"/>
          <w:lang w:eastAsia="zh-CN" w:bidi="en-US"/>
          <w14:ligatures w14:val="none"/>
        </w:rPr>
        <w:t xml:space="preserve"> </w:t>
      </w:r>
      <w:r w:rsidRPr="00373AB4">
        <w:rPr>
          <w:rFonts w:ascii="Arial" w:eastAsia="Times New Roman" w:hAnsi="Arial" w:cs="Arial"/>
          <w:kern w:val="1"/>
          <w:lang w:eastAsia="zh-CN" w:bidi="en-US"/>
          <w14:ligatures w14:val="none"/>
        </w:rPr>
        <w:t>pour développer la mise en œuvre des achats socio-responsables dans la commande publique de l’établissement.</w:t>
      </w:r>
    </w:p>
    <w:p w14:paraId="7A496E66" w14:textId="77777777"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p>
    <w:p w14:paraId="6E1D4B05" w14:textId="0FC609F6"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 xml:space="preserve">Elle a pour objectif de préciser les missions et les engagements des signataires. Ceux-ci porteront sur les marchés qui auront été identifiés et définis conjointement par le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et la </w:t>
      </w:r>
      <w:r w:rsidR="003126C2" w:rsidRPr="003126C2">
        <w:rPr>
          <w:rFonts w:ascii="Arial" w:eastAsia="Times New Roman" w:hAnsi="Arial" w:cs="Arial"/>
          <w:color w:val="00B050"/>
          <w:kern w:val="1"/>
          <w:lang w:eastAsia="zh-CN" w:bidi="en-US"/>
          <w14:ligatures w14:val="none"/>
        </w:rPr>
        <w:t>structure porteuse de la clause</w:t>
      </w:r>
      <w:r w:rsidR="009E4C9D">
        <w:rPr>
          <w:rFonts w:ascii="Arial" w:eastAsia="Times New Roman" w:hAnsi="Arial" w:cs="Arial"/>
          <w:kern w:val="1"/>
          <w:lang w:eastAsia="zh-CN" w:bidi="en-US"/>
          <w14:ligatures w14:val="none"/>
        </w:rPr>
        <w:t>.</w:t>
      </w:r>
    </w:p>
    <w:p w14:paraId="16487DEC" w14:textId="77777777" w:rsidR="0016136B" w:rsidRPr="00A9282A" w:rsidRDefault="0016136B" w:rsidP="0016136B">
      <w:pPr>
        <w:suppressAutoHyphens/>
        <w:spacing w:after="0" w:line="276" w:lineRule="auto"/>
        <w:jc w:val="both"/>
        <w:rPr>
          <w:rFonts w:ascii="Arial" w:eastAsia="Times New Roman" w:hAnsi="Arial" w:cs="Arial"/>
          <w:kern w:val="1"/>
          <w:highlight w:val="yellow"/>
          <w:lang w:eastAsia="zh-CN" w:bidi="en-US"/>
          <w14:ligatures w14:val="none"/>
        </w:rPr>
      </w:pPr>
    </w:p>
    <w:p w14:paraId="76137B1B" w14:textId="77777777" w:rsidR="0016136B" w:rsidRPr="00A91FC7" w:rsidRDefault="0016136B" w:rsidP="0016136B">
      <w:pPr>
        <w:keepNext/>
        <w:suppressAutoHyphens/>
        <w:spacing w:after="0" w:line="276" w:lineRule="auto"/>
        <w:jc w:val="both"/>
        <w:rPr>
          <w:rFonts w:ascii="Arial" w:eastAsia="Times New Roman" w:hAnsi="Arial" w:cs="Arial"/>
          <w:kern w:val="1"/>
          <w:lang w:eastAsia="zh-CN" w:bidi="en-US"/>
          <w14:ligatures w14:val="none"/>
        </w:rPr>
      </w:pPr>
      <w:r w:rsidRPr="00A91FC7">
        <w:rPr>
          <w:rFonts w:ascii="Arial" w:eastAsia="Times New Roman" w:hAnsi="Arial" w:cs="Arial"/>
          <w:b/>
          <w:kern w:val="1"/>
          <w:sz w:val="24"/>
          <w:szCs w:val="24"/>
          <w:u w:val="single"/>
          <w:lang w:eastAsia="zh-CN" w:bidi="en-US"/>
          <w14:ligatures w14:val="none"/>
        </w:rPr>
        <w:t>Article II – Modalités du partenariat</w:t>
      </w:r>
    </w:p>
    <w:p w14:paraId="6466B9BC" w14:textId="77777777" w:rsidR="0016136B" w:rsidRPr="00A91FC7" w:rsidRDefault="0016136B" w:rsidP="0016136B">
      <w:pPr>
        <w:keepNext/>
        <w:suppressAutoHyphens/>
        <w:spacing w:after="0" w:line="276" w:lineRule="auto"/>
        <w:jc w:val="both"/>
        <w:rPr>
          <w:rFonts w:ascii="Arial" w:eastAsia="Times New Roman" w:hAnsi="Arial" w:cs="Arial"/>
          <w:kern w:val="1"/>
          <w:lang w:eastAsia="zh-CN" w:bidi="en-US"/>
          <w14:ligatures w14:val="none"/>
        </w:rPr>
      </w:pPr>
    </w:p>
    <w:p w14:paraId="53F0561C" w14:textId="06C88514" w:rsidR="0016136B" w:rsidRPr="00A91FC7" w:rsidRDefault="0016136B" w:rsidP="0016136B">
      <w:pPr>
        <w:keepNext/>
        <w:suppressAutoHyphens/>
        <w:spacing w:after="0" w:line="276" w:lineRule="auto"/>
        <w:jc w:val="both"/>
        <w:rPr>
          <w:rFonts w:ascii="Arial" w:eastAsia="Times New Roman" w:hAnsi="Arial" w:cs="Arial"/>
          <w:kern w:val="1"/>
          <w:lang w:eastAsia="zh-CN" w:bidi="en-US"/>
          <w14:ligatures w14:val="none"/>
        </w:rPr>
      </w:pPr>
      <w:r w:rsidRPr="00A91FC7">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A91FC7">
        <w:rPr>
          <w:rFonts w:ascii="Arial" w:eastAsia="Times New Roman" w:hAnsi="Arial" w:cs="Arial"/>
          <w:kern w:val="1"/>
          <w:lang w:eastAsia="zh-CN" w:bidi="en-US"/>
          <w14:ligatures w14:val="none"/>
        </w:rPr>
        <w:t xml:space="preserve"> met en place les procédures visant à favoriser toute action à caractère social dans ses marchés, et, autant que possible, prévoit dans ses marchés d</w:t>
      </w:r>
      <w:r w:rsidRPr="00A91FC7">
        <w:rPr>
          <w:rFonts w:ascii="Arial" w:eastAsia="Times New Roman" w:hAnsi="Arial" w:cs="Arial"/>
          <w:color w:val="3C3C3C"/>
          <w:kern w:val="1"/>
          <w:sz w:val="21"/>
          <w:szCs w:val="21"/>
          <w:shd w:val="clear" w:color="auto" w:fill="FFFFFF"/>
          <w:lang w:eastAsia="zh-CN" w:bidi="en-US"/>
          <w14:ligatures w14:val="none"/>
        </w:rPr>
        <w:t xml:space="preserve">es conditions d'exécution prenant en compte des considérations relatives au domaine social, à </w:t>
      </w:r>
      <w:r w:rsidRPr="00A91FC7">
        <w:rPr>
          <w:rFonts w:ascii="Arial" w:eastAsia="Times New Roman" w:hAnsi="Arial" w:cs="Arial"/>
          <w:color w:val="3C3C3C"/>
          <w:kern w:val="1"/>
          <w:sz w:val="21"/>
          <w:szCs w:val="21"/>
          <w:shd w:val="clear" w:color="auto" w:fill="FFFFFF"/>
          <w:lang w:eastAsia="zh-CN" w:bidi="en-US"/>
          <w14:ligatures w14:val="none"/>
        </w:rPr>
        <w:lastRenderedPageBreak/>
        <w:t>l'emploi ou à la lutte contre les discriminations au sens de</w:t>
      </w:r>
      <w:r w:rsidRPr="00A91FC7">
        <w:rPr>
          <w:rFonts w:ascii="Arial" w:eastAsia="Times New Roman" w:hAnsi="Arial" w:cs="Arial"/>
          <w:kern w:val="1"/>
          <w:lang w:eastAsia="zh-CN" w:bidi="en-US"/>
          <w14:ligatures w14:val="none"/>
        </w:rPr>
        <w:t xml:space="preserve"> l’article L. </w:t>
      </w:r>
      <w:r w:rsidRPr="00A91FC7">
        <w:rPr>
          <w:rFonts w:ascii="Tahoma" w:eastAsia="Times New Roman" w:hAnsi="Tahoma" w:cs="Tahoma"/>
          <w:kern w:val="1"/>
          <w:szCs w:val="20"/>
          <w:lang w:eastAsia="zh-CN" w:bidi="en-US"/>
          <w14:ligatures w14:val="none"/>
        </w:rPr>
        <w:t>2112-2 du code de la Commande Publique</w:t>
      </w:r>
      <w:r w:rsidRPr="00A91FC7">
        <w:rPr>
          <w:rFonts w:ascii="Arial" w:eastAsia="Times New Roman" w:hAnsi="Arial" w:cs="Arial"/>
          <w:kern w:val="1"/>
          <w:lang w:eastAsia="zh-CN" w:bidi="en-US"/>
          <w14:ligatures w14:val="none"/>
        </w:rPr>
        <w:t>.</w:t>
      </w:r>
    </w:p>
    <w:p w14:paraId="2D3B8448" w14:textId="77777777" w:rsidR="0016136B" w:rsidRPr="00A91FC7" w:rsidRDefault="0016136B" w:rsidP="0016136B">
      <w:pPr>
        <w:suppressAutoHyphens/>
        <w:spacing w:after="0" w:line="276" w:lineRule="auto"/>
        <w:jc w:val="both"/>
        <w:rPr>
          <w:rFonts w:ascii="Arial" w:eastAsia="Times New Roman" w:hAnsi="Arial" w:cs="Arial"/>
          <w:kern w:val="1"/>
          <w:lang w:eastAsia="zh-CN" w:bidi="en-US"/>
          <w14:ligatures w14:val="none"/>
        </w:rPr>
      </w:pPr>
    </w:p>
    <w:p w14:paraId="5F4E881C" w14:textId="5F2667F5" w:rsidR="0016136B" w:rsidRPr="00A91FC7" w:rsidRDefault="009E4C9D" w:rsidP="0016136B">
      <w:pPr>
        <w:suppressAutoHyphens/>
        <w:spacing w:after="0" w:line="276" w:lineRule="auto"/>
        <w:jc w:val="both"/>
        <w:rPr>
          <w:rFonts w:ascii="Arial" w:eastAsia="Times New Roman" w:hAnsi="Arial" w:cs="Arial"/>
          <w:kern w:val="1"/>
          <w:lang w:eastAsia="zh-CN" w:bidi="en-US"/>
          <w14:ligatures w14:val="none"/>
        </w:rPr>
      </w:pPr>
      <w:r w:rsidRPr="00A91FC7">
        <w:rPr>
          <w:rFonts w:ascii="Arial" w:eastAsia="Times New Roman" w:hAnsi="Arial" w:cs="Arial"/>
          <w:color w:val="000000" w:themeColor="text1"/>
          <w:kern w:val="1"/>
          <w:lang w:eastAsia="zh-CN" w:bidi="en-US"/>
          <w14:ligatures w14:val="none"/>
        </w:rPr>
        <w:t xml:space="preserve">La </w:t>
      </w:r>
      <w:r w:rsidR="003126C2" w:rsidRPr="00A91FC7">
        <w:rPr>
          <w:rFonts w:ascii="Arial" w:eastAsia="Times New Roman" w:hAnsi="Arial" w:cs="Arial"/>
          <w:color w:val="00B050"/>
          <w:kern w:val="1"/>
          <w:lang w:eastAsia="zh-CN" w:bidi="en-US"/>
          <w14:ligatures w14:val="none"/>
        </w:rPr>
        <w:t>structure porteuse de la clause</w:t>
      </w:r>
      <w:r w:rsidR="0016136B" w:rsidRPr="00A91FC7">
        <w:rPr>
          <w:rFonts w:ascii="Arial" w:eastAsia="Times New Roman" w:hAnsi="Arial" w:cs="Arial"/>
          <w:color w:val="000000" w:themeColor="text1"/>
          <w:kern w:val="1"/>
          <w:lang w:eastAsia="zh-CN" w:bidi="en-US"/>
          <w14:ligatures w14:val="none"/>
        </w:rPr>
        <w:t xml:space="preserve"> </w:t>
      </w:r>
      <w:r w:rsidR="0016136B" w:rsidRPr="00A91FC7">
        <w:rPr>
          <w:rFonts w:ascii="Arial" w:eastAsia="Times New Roman" w:hAnsi="Arial" w:cs="Arial"/>
          <w:kern w:val="1"/>
          <w:lang w:eastAsia="zh-CN" w:bidi="en-US"/>
          <w14:ligatures w14:val="none"/>
        </w:rPr>
        <w:t xml:space="preserve">accompagne et conseille </w:t>
      </w:r>
      <w:r w:rsidR="0016136B" w:rsidRPr="00A91FC7">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0016136B" w:rsidRPr="00A91FC7">
        <w:rPr>
          <w:rFonts w:ascii="Arial" w:eastAsia="Times New Roman" w:hAnsi="Arial" w:cs="Arial"/>
          <w:color w:val="548DD4"/>
          <w:kern w:val="1"/>
          <w:lang w:eastAsia="zh-CN" w:bidi="en-US"/>
          <w14:ligatures w14:val="none"/>
        </w:rPr>
        <w:t xml:space="preserve"> </w:t>
      </w:r>
      <w:r w:rsidR="0016136B" w:rsidRPr="00A91FC7">
        <w:rPr>
          <w:rFonts w:ascii="Arial" w:eastAsia="Times New Roman" w:hAnsi="Arial" w:cs="Arial"/>
          <w:kern w:val="1"/>
          <w:lang w:eastAsia="zh-CN" w:bidi="en-US"/>
          <w14:ligatures w14:val="none"/>
        </w:rPr>
        <w:t>dans le cadre de la vérification de l’opportunité d’insérer des clauses sociales dans ses marchés, la rédaction de celle-ci ainsi que le suivi et le contrôle de leur mise en œuvre par les titulaires des marchés.</w:t>
      </w:r>
    </w:p>
    <w:p w14:paraId="78D3A4A7" w14:textId="56BF687E" w:rsidR="0016136B" w:rsidRPr="0016136B" w:rsidRDefault="0016136B" w:rsidP="0016136B">
      <w:pPr>
        <w:suppressAutoHyphens/>
        <w:spacing w:before="360" w:after="200" w:line="276" w:lineRule="auto"/>
        <w:jc w:val="both"/>
        <w:rPr>
          <w:rFonts w:ascii="Arial" w:eastAsia="Times New Roman" w:hAnsi="Arial" w:cs="Arial"/>
          <w:color w:val="000000" w:themeColor="text1"/>
          <w:kern w:val="1"/>
          <w:lang w:eastAsia="zh-CN" w:bidi="en-US"/>
          <w14:ligatures w14:val="none"/>
        </w:rPr>
      </w:pPr>
      <w:r w:rsidRPr="00373AB4">
        <w:rPr>
          <w:rFonts w:ascii="Arial" w:eastAsia="Times New Roman" w:hAnsi="Arial" w:cs="Arial"/>
          <w:b/>
          <w:kern w:val="1"/>
          <w:sz w:val="24"/>
          <w:szCs w:val="24"/>
          <w:u w:val="single"/>
          <w:lang w:eastAsia="zh-CN" w:bidi="en-US"/>
          <w14:ligatures w14:val="none"/>
        </w:rPr>
        <w:t xml:space="preserve">Article III – Engagements de </w:t>
      </w:r>
      <w:r w:rsidRPr="0016136B">
        <w:rPr>
          <w:rFonts w:ascii="Arial" w:eastAsia="Times New Roman" w:hAnsi="Arial" w:cs="Arial"/>
          <w:b/>
          <w:color w:val="000000" w:themeColor="text1"/>
          <w:kern w:val="1"/>
          <w:sz w:val="24"/>
          <w:szCs w:val="24"/>
          <w:u w:val="single"/>
          <w:lang w:eastAsia="zh-CN" w:bidi="en-US"/>
          <w14:ligatures w14:val="none"/>
        </w:rPr>
        <w:t xml:space="preserve">la </w:t>
      </w:r>
      <w:r w:rsidR="003126C2" w:rsidRPr="009E4C9D">
        <w:rPr>
          <w:rFonts w:ascii="Arial" w:eastAsia="Times New Roman" w:hAnsi="Arial" w:cs="Arial"/>
          <w:b/>
          <w:bCs/>
          <w:color w:val="00B050"/>
          <w:kern w:val="1"/>
          <w:sz w:val="24"/>
          <w:szCs w:val="24"/>
          <w:u w:val="single"/>
          <w:lang w:eastAsia="zh-CN" w:bidi="en-US"/>
          <w14:ligatures w14:val="none"/>
        </w:rPr>
        <w:t>structure porteuse de la clause</w:t>
      </w:r>
    </w:p>
    <w:p w14:paraId="6A6087E9" w14:textId="0E219A47" w:rsidR="0016136B" w:rsidRPr="00373AB4" w:rsidRDefault="0016136B" w:rsidP="0016136B">
      <w:pPr>
        <w:suppressAutoHyphens/>
        <w:spacing w:before="360" w:after="200" w:line="276" w:lineRule="auto"/>
        <w:jc w:val="both"/>
        <w:rPr>
          <w:rFonts w:ascii="Arial" w:eastAsia="Times New Roman" w:hAnsi="Arial" w:cs="Arial"/>
          <w:kern w:val="1"/>
          <w:lang w:eastAsia="zh-CN" w:bidi="en-US"/>
          <w14:ligatures w14:val="none"/>
        </w:rPr>
      </w:pPr>
      <w:r w:rsidRPr="009E4C9D">
        <w:rPr>
          <w:rFonts w:ascii="Arial" w:eastAsia="Times New Roman" w:hAnsi="Arial" w:cs="Arial"/>
          <w:color w:val="00B050"/>
          <w:kern w:val="1"/>
          <w:lang w:eastAsia="zh-CN" w:bidi="en-US"/>
          <w14:ligatures w14:val="none"/>
        </w:rPr>
        <w:t>La</w:t>
      </w:r>
      <w:r w:rsidRPr="00373AB4">
        <w:rPr>
          <w:rFonts w:ascii="Arial" w:eastAsia="Times New Roman" w:hAnsi="Arial" w:cs="Arial"/>
          <w:kern w:val="1"/>
          <w:lang w:eastAsia="zh-CN" w:bidi="en-US"/>
          <w14:ligatures w14:val="none"/>
        </w:rPr>
        <w:t xml:space="preserve"> </w:t>
      </w:r>
      <w:r w:rsidR="003126C2" w:rsidRPr="003126C2">
        <w:rPr>
          <w:rFonts w:ascii="Arial" w:eastAsia="Times New Roman" w:hAnsi="Arial" w:cs="Arial"/>
          <w:color w:val="00B050"/>
          <w:kern w:val="1"/>
          <w:lang w:eastAsia="zh-CN" w:bidi="en-US"/>
          <w14:ligatures w14:val="none"/>
        </w:rPr>
        <w:t>structure porteuse de la clause</w:t>
      </w:r>
      <w:r w:rsidRPr="0016136B">
        <w:rPr>
          <w:rFonts w:ascii="Arial" w:eastAsia="Times New Roman" w:hAnsi="Arial" w:cs="Arial"/>
          <w:color w:val="000000" w:themeColor="text1"/>
          <w:kern w:val="1"/>
          <w:lang w:eastAsia="zh-CN" w:bidi="en-US"/>
          <w14:ligatures w14:val="none"/>
        </w:rPr>
        <w:t xml:space="preserve"> </w:t>
      </w:r>
      <w:r w:rsidRPr="00373AB4">
        <w:rPr>
          <w:rFonts w:ascii="Arial" w:eastAsia="Times New Roman" w:hAnsi="Arial" w:cs="Arial"/>
          <w:kern w:val="1"/>
          <w:lang w:eastAsia="zh-CN" w:bidi="en-US"/>
          <w14:ligatures w14:val="none"/>
        </w:rPr>
        <w:t xml:space="preserve">assure auprès du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un rôle d’interface entre les acteurs concernés pour faciliter la mise en œuvre des actions d’insertion prévues, notamment la clause sociale, et contribuer à l’efficacité du dispositif.</w:t>
      </w:r>
    </w:p>
    <w:p w14:paraId="144AEF8E" w14:textId="118281EF" w:rsidR="0016136B" w:rsidRPr="00373AB4" w:rsidRDefault="0016136B" w:rsidP="0016136B">
      <w:pPr>
        <w:suppressAutoHyphens/>
        <w:spacing w:before="200" w:after="200" w:line="276" w:lineRule="auto"/>
        <w:jc w:val="both"/>
        <w:rPr>
          <w:rFonts w:ascii="Arial" w:eastAsia="Times New Roman" w:hAnsi="Arial" w:cs="Arial"/>
          <w:b/>
          <w:kern w:val="1"/>
          <w:lang w:eastAsia="zh-CN" w:bidi="en-US"/>
          <w14:ligatures w14:val="none"/>
        </w:rPr>
      </w:pPr>
      <w:r w:rsidRPr="00373AB4">
        <w:rPr>
          <w:rFonts w:ascii="Arial" w:eastAsia="Times New Roman" w:hAnsi="Arial" w:cs="Arial"/>
          <w:kern w:val="1"/>
          <w:lang w:eastAsia="zh-CN" w:bidi="en-US"/>
          <w14:ligatures w14:val="none"/>
        </w:rPr>
        <w:t>Sur les marchés identifiés conformément aux dispositions prévues à l’article II, la</w:t>
      </w:r>
      <w:r w:rsidR="003126C2" w:rsidRPr="003126C2">
        <w:rPr>
          <w:rFonts w:ascii="Arial" w:eastAsia="Times New Roman" w:hAnsi="Arial" w:cs="Arial"/>
          <w:color w:val="00B050"/>
          <w:kern w:val="1"/>
          <w:lang w:eastAsia="zh-CN" w:bidi="en-US"/>
          <w14:ligatures w14:val="none"/>
        </w:rPr>
        <w:t xml:space="preserve"> structure porteuse de la clause</w:t>
      </w:r>
      <w:r w:rsidRPr="00373AB4">
        <w:rPr>
          <w:rFonts w:ascii="Arial" w:eastAsia="Times New Roman" w:hAnsi="Arial" w:cs="Arial"/>
          <w:kern w:val="1"/>
          <w:lang w:eastAsia="zh-CN" w:bidi="en-US"/>
          <w14:ligatures w14:val="none"/>
        </w:rPr>
        <w:t xml:space="preserve"> assure les fonctions suivantes :</w:t>
      </w:r>
    </w:p>
    <w:p w14:paraId="19D4E25F" w14:textId="6F8C6339" w:rsidR="0016136B" w:rsidRPr="00373AB4" w:rsidRDefault="0016136B" w:rsidP="0016136B">
      <w:pPr>
        <w:suppressAutoHyphens/>
        <w:spacing w:before="200" w:after="200" w:line="276" w:lineRule="auto"/>
        <w:ind w:left="360"/>
        <w:jc w:val="both"/>
        <w:rPr>
          <w:rFonts w:ascii="Arial" w:eastAsia="Times New Roman" w:hAnsi="Arial" w:cs="Arial"/>
          <w:kern w:val="1"/>
          <w:lang w:eastAsia="zh-CN" w:bidi="en-US"/>
          <w14:ligatures w14:val="none"/>
        </w:rPr>
      </w:pPr>
      <w:r w:rsidRPr="00373AB4">
        <w:rPr>
          <w:rFonts w:ascii="Arial" w:eastAsia="Times New Roman" w:hAnsi="Arial" w:cs="Arial"/>
          <w:b/>
          <w:kern w:val="1"/>
          <w:lang w:eastAsia="zh-CN" w:bidi="en-US"/>
          <w14:ligatures w14:val="none"/>
        </w:rPr>
        <w:t xml:space="preserve">1° Conseille et accompagne </w:t>
      </w:r>
      <w:r w:rsidR="009C158B">
        <w:rPr>
          <w:rFonts w:ascii="Arial" w:eastAsia="Times New Roman" w:hAnsi="Arial" w:cs="Arial"/>
          <w:kern w:val="1"/>
          <w:lang w:eastAsia="zh-CN" w:bidi="en-US"/>
          <w14:ligatures w14:val="none"/>
        </w:rPr>
        <w:t>le</w:t>
      </w:r>
      <w:r w:rsidR="00A91FC7">
        <w:rPr>
          <w:rFonts w:ascii="Arial" w:eastAsia="Times New Roman" w:hAnsi="Arial" w:cs="Arial"/>
          <w:kern w:val="1"/>
          <w:lang w:eastAsia="zh-CN" w:bidi="en-US"/>
          <w14:ligatures w14:val="none"/>
        </w:rPr>
        <w:t xml:space="preserve">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b/>
          <w:kern w:val="1"/>
          <w:lang w:eastAsia="zh-CN" w:bidi="en-US"/>
          <w14:ligatures w14:val="none"/>
        </w:rPr>
        <w:t xml:space="preserve"> :</w:t>
      </w:r>
    </w:p>
    <w:p w14:paraId="16FD0A71"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Pour le choix de l’action d’insertion conformément à l’article L.</w:t>
      </w:r>
      <w:r w:rsidRPr="00373AB4">
        <w:rPr>
          <w:rFonts w:ascii="Tahoma" w:eastAsia="Times New Roman" w:hAnsi="Tahoma" w:cs="Tahoma"/>
          <w:kern w:val="1"/>
          <w:szCs w:val="20"/>
          <w:lang w:eastAsia="zh-CN" w:bidi="en-US"/>
          <w14:ligatures w14:val="none"/>
        </w:rPr>
        <w:t>2112-2 du code de la Commande Publique</w:t>
      </w:r>
      <w:r w:rsidRPr="00373AB4">
        <w:rPr>
          <w:rFonts w:ascii="Arial" w:eastAsia="Times New Roman" w:hAnsi="Arial" w:cs="Arial"/>
          <w:kern w:val="1"/>
          <w:lang w:eastAsia="zh-CN" w:bidi="en-US"/>
          <w14:ligatures w14:val="none"/>
        </w:rPr>
        <w:t xml:space="preserve"> ;</w:t>
      </w:r>
    </w:p>
    <w:p w14:paraId="04863FCF"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Pour la rédaction des clauses insérées dans les Dossiers de Consultation des Entreprises (DCE) ;</w:t>
      </w:r>
    </w:p>
    <w:p w14:paraId="2D4AA8DD"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Pour répondre aux questions des soumissionnaires en lien avec ces clauses ;</w:t>
      </w:r>
    </w:p>
    <w:p w14:paraId="243CF6C3"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Pour définir les objectifs d’insertion selon la nature du marché et les spécificités du territoire d’exécution.</w:t>
      </w:r>
    </w:p>
    <w:p w14:paraId="51D34D76"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 xml:space="preserve">Pour assurer la coordination et le suivi des marchés dont le lieu d’exécution se situe sur son territoire d’intervention </w:t>
      </w:r>
    </w:p>
    <w:p w14:paraId="324F91AB"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Peut aider à rechercher pour les marchés hors de son territoire les contacts avec les facilitateurs des territoires concernés et faciliter la récupération des informations pendant le marchés et bilan d’exécution.</w:t>
      </w:r>
    </w:p>
    <w:p w14:paraId="319412E1" w14:textId="37E186A8" w:rsidR="0016136B" w:rsidRPr="00373AB4" w:rsidRDefault="0016136B" w:rsidP="0016136B">
      <w:p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La</w:t>
      </w:r>
      <w:r w:rsidR="003126C2" w:rsidRPr="003126C2">
        <w:rPr>
          <w:rFonts w:ascii="Arial" w:eastAsia="Times New Roman" w:hAnsi="Arial" w:cs="Arial"/>
          <w:color w:val="00B050"/>
          <w:kern w:val="1"/>
          <w:lang w:eastAsia="zh-CN" w:bidi="en-US"/>
          <w14:ligatures w14:val="none"/>
        </w:rPr>
        <w:t xml:space="preserve"> structure porteuse de la clause</w:t>
      </w:r>
      <w:r w:rsidRPr="00373AB4">
        <w:rPr>
          <w:rFonts w:ascii="Arial" w:eastAsia="Times New Roman" w:hAnsi="Arial" w:cs="Arial"/>
          <w:kern w:val="1"/>
          <w:lang w:eastAsia="zh-CN" w:bidi="en-US"/>
          <w14:ligatures w14:val="none"/>
        </w:rPr>
        <w:t xml:space="preserve"> suit l’application des clauses, procède au contrôle de l’exécution des actions d’insertion et rend compte régulièrement au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des données de ce suivi d’application des clauses sociales.</w:t>
      </w:r>
    </w:p>
    <w:p w14:paraId="18A51FB3" w14:textId="0F01FC12" w:rsidR="0016136B" w:rsidRPr="00373AB4" w:rsidRDefault="0016136B" w:rsidP="0016136B">
      <w:p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 xml:space="preserve">Elle informe spécifiquement le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en cours de marchés, de toute anomalie grave qu’elle aurait détectée dans l’exécution des actions d’insertion et propose, à la fin du marché, le cas échéant, l’application des sanctions prévues au contrat (pénalités, résiliation aux torts exclusifs).</w:t>
      </w:r>
    </w:p>
    <w:p w14:paraId="11BDE754" w14:textId="77777777" w:rsidR="0016136B" w:rsidRDefault="0016136B" w:rsidP="0016136B">
      <w:p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Elle effectue les bilans intermédiaires et annuels à partir des indicateurs et des outils de reporting développés par ses services.</w:t>
      </w:r>
    </w:p>
    <w:p w14:paraId="11D7CFA8" w14:textId="77777777" w:rsidR="007647EC" w:rsidRPr="00373AB4" w:rsidRDefault="007647EC" w:rsidP="0016136B">
      <w:pPr>
        <w:suppressAutoHyphens/>
        <w:spacing w:before="200" w:after="200" w:line="276" w:lineRule="auto"/>
        <w:jc w:val="both"/>
        <w:rPr>
          <w:rFonts w:ascii="Arial" w:eastAsia="Times New Roman" w:hAnsi="Arial" w:cs="Arial"/>
          <w:b/>
          <w:kern w:val="1"/>
          <w:lang w:eastAsia="zh-CN" w:bidi="en-US"/>
          <w14:ligatures w14:val="none"/>
        </w:rPr>
      </w:pPr>
    </w:p>
    <w:p w14:paraId="3D603810" w14:textId="77777777" w:rsidR="0016136B" w:rsidRPr="00373AB4" w:rsidRDefault="0016136B" w:rsidP="0016136B">
      <w:pPr>
        <w:suppressAutoHyphens/>
        <w:spacing w:before="200" w:after="200" w:line="276" w:lineRule="auto"/>
        <w:ind w:left="360"/>
        <w:jc w:val="both"/>
        <w:rPr>
          <w:rFonts w:ascii="Arial" w:eastAsia="Times New Roman" w:hAnsi="Arial" w:cs="Arial"/>
          <w:kern w:val="1"/>
          <w:lang w:eastAsia="zh-CN" w:bidi="en-US"/>
          <w14:ligatures w14:val="none"/>
        </w:rPr>
      </w:pPr>
      <w:r w:rsidRPr="00373AB4">
        <w:rPr>
          <w:rFonts w:ascii="Arial" w:eastAsia="Times New Roman" w:hAnsi="Arial" w:cs="Arial"/>
          <w:b/>
          <w:kern w:val="1"/>
          <w:lang w:eastAsia="zh-CN" w:bidi="en-US"/>
          <w14:ligatures w14:val="none"/>
        </w:rPr>
        <w:lastRenderedPageBreak/>
        <w:t>2° Conseille les entreprises :</w:t>
      </w:r>
    </w:p>
    <w:p w14:paraId="2F53A0A5"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Les entreprises soumissionnaires, sur les modalités de réponse à la clause sociale (publics cibles, modalités d’exécution, etc.) avant le dépôt de leur offre.</w:t>
      </w:r>
    </w:p>
    <w:p w14:paraId="3646A3D2"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L’entreprise attributaire :</w:t>
      </w:r>
    </w:p>
    <w:p w14:paraId="4F078CE0" w14:textId="77777777" w:rsidR="0016136B" w:rsidRPr="00373AB4" w:rsidRDefault="0016136B" w:rsidP="0016136B">
      <w:pPr>
        <w:numPr>
          <w:ilvl w:val="1"/>
          <w:numId w:val="2"/>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Sur les modalités de mise en œuvre de la clause ;</w:t>
      </w:r>
    </w:p>
    <w:p w14:paraId="6FB44231" w14:textId="77777777" w:rsidR="0016136B" w:rsidRPr="007647EC" w:rsidRDefault="0016136B" w:rsidP="0016136B">
      <w:pPr>
        <w:numPr>
          <w:ilvl w:val="1"/>
          <w:numId w:val="2"/>
        </w:numPr>
        <w:suppressAutoHyphens/>
        <w:spacing w:before="200" w:after="200" w:line="276" w:lineRule="auto"/>
        <w:jc w:val="both"/>
        <w:rPr>
          <w:rFonts w:ascii="Arial" w:eastAsia="Times New Roman" w:hAnsi="Arial" w:cs="Arial"/>
          <w:b/>
          <w:kern w:val="1"/>
          <w:lang w:eastAsia="zh-CN" w:bidi="en-US"/>
          <w14:ligatures w14:val="none"/>
        </w:rPr>
      </w:pPr>
      <w:r w:rsidRPr="00373AB4">
        <w:rPr>
          <w:rFonts w:ascii="Arial" w:eastAsia="Times New Roman" w:hAnsi="Arial" w:cs="Arial"/>
          <w:kern w:val="1"/>
          <w:lang w:eastAsia="zh-CN" w:bidi="en-US"/>
          <w14:ligatures w14:val="none"/>
        </w:rPr>
        <w:t>Sur l’aide au recrutement, en fonction des opportunités et des besoins de l’entreprise (définition des postes, des tâches à exécuter, des compétences requises et identification des profils des publics).</w:t>
      </w:r>
    </w:p>
    <w:p w14:paraId="5EC32FC2" w14:textId="77777777" w:rsidR="007647EC" w:rsidRPr="00373AB4" w:rsidRDefault="007647EC" w:rsidP="009E4C9D">
      <w:pPr>
        <w:suppressAutoHyphens/>
        <w:spacing w:before="200" w:after="200" w:line="276" w:lineRule="auto"/>
        <w:ind w:left="1788"/>
        <w:jc w:val="both"/>
        <w:rPr>
          <w:rFonts w:ascii="Arial" w:eastAsia="Times New Roman" w:hAnsi="Arial" w:cs="Arial"/>
          <w:b/>
          <w:kern w:val="1"/>
          <w:lang w:eastAsia="zh-CN" w:bidi="en-US"/>
          <w14:ligatures w14:val="none"/>
        </w:rPr>
      </w:pPr>
    </w:p>
    <w:p w14:paraId="715C4351" w14:textId="77777777" w:rsidR="0016136B" w:rsidRPr="00373AB4" w:rsidRDefault="0016136B" w:rsidP="0016136B">
      <w:pPr>
        <w:suppressAutoHyphens/>
        <w:spacing w:before="200" w:after="200" w:line="276" w:lineRule="auto"/>
        <w:ind w:left="360"/>
        <w:jc w:val="both"/>
        <w:rPr>
          <w:rFonts w:ascii="Arial" w:eastAsia="Times New Roman" w:hAnsi="Arial" w:cs="Arial"/>
          <w:kern w:val="1"/>
          <w:lang w:eastAsia="zh-CN" w:bidi="en-US"/>
          <w14:ligatures w14:val="none"/>
        </w:rPr>
      </w:pPr>
      <w:r w:rsidRPr="00373AB4">
        <w:rPr>
          <w:rFonts w:ascii="Arial" w:eastAsia="Times New Roman" w:hAnsi="Arial" w:cs="Arial"/>
          <w:b/>
          <w:kern w:val="1"/>
          <w:lang w:eastAsia="zh-CN" w:bidi="en-US"/>
          <w14:ligatures w14:val="none"/>
        </w:rPr>
        <w:t>3° Mobilise les acteurs de l’emploi :</w:t>
      </w:r>
    </w:p>
    <w:p w14:paraId="7B8F5B74"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Les prescripteurs du Service Public de l’Emploi</w:t>
      </w:r>
    </w:p>
    <w:p w14:paraId="45B47A09"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Les Structures d’Insertion par l’Activité Economique (SIAE)</w:t>
      </w:r>
    </w:p>
    <w:p w14:paraId="37BA7FB7"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Les entreprises adaptées du secteur protégé des personnes en situation de handicap (EA, ESAT…)</w:t>
      </w:r>
    </w:p>
    <w:p w14:paraId="08C25E29" w14:textId="77777777" w:rsidR="0016136B" w:rsidRPr="00373AB4" w:rsidRDefault="0016136B" w:rsidP="0016136B">
      <w:pPr>
        <w:numPr>
          <w:ilvl w:val="0"/>
          <w:numId w:val="5"/>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Les acteurs associatifs locaux de l’insertion et de l’emploi</w:t>
      </w:r>
    </w:p>
    <w:p w14:paraId="23A2F3BC" w14:textId="77777777" w:rsidR="0016136B" w:rsidRPr="007647EC" w:rsidRDefault="0016136B" w:rsidP="0016136B">
      <w:pPr>
        <w:numPr>
          <w:ilvl w:val="0"/>
          <w:numId w:val="5"/>
        </w:numPr>
        <w:suppressAutoHyphens/>
        <w:spacing w:before="200" w:after="200" w:line="276" w:lineRule="auto"/>
        <w:jc w:val="both"/>
        <w:rPr>
          <w:rFonts w:ascii="Arial" w:eastAsia="Times New Roman" w:hAnsi="Arial" w:cs="Arial"/>
          <w:b/>
          <w:kern w:val="1"/>
          <w:lang w:eastAsia="zh-CN" w:bidi="en-US"/>
          <w14:ligatures w14:val="none"/>
        </w:rPr>
      </w:pPr>
      <w:r w:rsidRPr="00373AB4">
        <w:rPr>
          <w:rFonts w:ascii="Arial" w:eastAsia="Times New Roman" w:hAnsi="Arial" w:cs="Arial"/>
          <w:kern w:val="1"/>
          <w:lang w:eastAsia="zh-CN" w:bidi="en-US"/>
          <w14:ligatures w14:val="none"/>
        </w:rPr>
        <w:t>L’offre de service territoriale emploi/formation (prestations d’évaluation, formations en alternance, etc.)</w:t>
      </w:r>
    </w:p>
    <w:p w14:paraId="477933A1" w14:textId="77777777" w:rsidR="007647EC" w:rsidRPr="00373AB4" w:rsidRDefault="007647EC" w:rsidP="007647EC">
      <w:pPr>
        <w:suppressAutoHyphens/>
        <w:spacing w:before="200" w:after="200" w:line="276" w:lineRule="auto"/>
        <w:ind w:left="1068"/>
        <w:jc w:val="both"/>
        <w:rPr>
          <w:rFonts w:ascii="Arial" w:eastAsia="Times New Roman" w:hAnsi="Arial" w:cs="Arial"/>
          <w:b/>
          <w:kern w:val="1"/>
          <w:lang w:eastAsia="zh-CN" w:bidi="en-US"/>
          <w14:ligatures w14:val="none"/>
        </w:rPr>
      </w:pPr>
    </w:p>
    <w:p w14:paraId="0E3954F8" w14:textId="77777777" w:rsidR="00461280" w:rsidRDefault="0016136B" w:rsidP="00461280">
      <w:pPr>
        <w:suppressAutoHyphens/>
        <w:spacing w:before="200" w:after="200" w:line="276" w:lineRule="auto"/>
        <w:ind w:left="360"/>
        <w:jc w:val="both"/>
        <w:rPr>
          <w:rFonts w:ascii="Arial" w:eastAsia="Times New Roman" w:hAnsi="Arial" w:cs="Arial"/>
          <w:kern w:val="1"/>
          <w:lang w:eastAsia="zh-CN" w:bidi="en-US"/>
          <w14:ligatures w14:val="none"/>
        </w:rPr>
      </w:pPr>
      <w:r w:rsidRPr="00373AB4">
        <w:rPr>
          <w:rFonts w:ascii="Arial" w:eastAsia="Times New Roman" w:hAnsi="Arial" w:cs="Arial"/>
          <w:b/>
          <w:kern w:val="1"/>
          <w:lang w:eastAsia="zh-CN" w:bidi="en-US"/>
          <w14:ligatures w14:val="none"/>
        </w:rPr>
        <w:t>4° Organise et coordonne le suivi des publics jusqu’à la fin de la période d’intégration dans l’emploi :</w:t>
      </w:r>
      <w:r w:rsidR="00461280">
        <w:rPr>
          <w:rFonts w:ascii="Arial" w:eastAsia="Times New Roman" w:hAnsi="Arial" w:cs="Arial"/>
          <w:b/>
          <w:kern w:val="1"/>
          <w:lang w:eastAsia="zh-CN" w:bidi="en-US"/>
          <w14:ligatures w14:val="none"/>
        </w:rPr>
        <w:t xml:space="preserve"> </w:t>
      </w:r>
      <w:proofErr w:type="gramStart"/>
      <w:r w:rsidR="00461280">
        <w:rPr>
          <w:rFonts w:ascii="Arial" w:eastAsia="Times New Roman" w:hAnsi="Arial" w:cs="Arial"/>
          <w:b/>
          <w:kern w:val="1"/>
          <w:lang w:eastAsia="zh-CN" w:bidi="en-US"/>
          <w14:ligatures w14:val="none"/>
        </w:rPr>
        <w:t>( en</w:t>
      </w:r>
      <w:proofErr w:type="gramEnd"/>
      <w:r w:rsidR="00461280">
        <w:rPr>
          <w:rFonts w:ascii="Arial" w:eastAsia="Times New Roman" w:hAnsi="Arial" w:cs="Arial"/>
          <w:b/>
          <w:kern w:val="1"/>
          <w:lang w:eastAsia="zh-CN" w:bidi="en-US"/>
          <w14:ligatures w14:val="none"/>
        </w:rPr>
        <w:t xml:space="preserve"> lien avec les entreprises et acteurs de l’emploi)</w:t>
      </w:r>
    </w:p>
    <w:p w14:paraId="270EEEAA" w14:textId="1C0BDD66" w:rsidR="0016136B" w:rsidRPr="00373AB4" w:rsidRDefault="0016136B" w:rsidP="00461280">
      <w:pPr>
        <w:suppressAutoHyphens/>
        <w:spacing w:before="200" w:after="200" w:line="276" w:lineRule="auto"/>
        <w:ind w:left="360"/>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Compte tenu des sites potentiels d’exécution des marchés publics :</w:t>
      </w:r>
    </w:p>
    <w:p w14:paraId="02E6BCDD" w14:textId="02C6C9C2" w:rsidR="0016136B" w:rsidRPr="00373AB4" w:rsidRDefault="0016136B" w:rsidP="0016136B">
      <w:pPr>
        <w:numPr>
          <w:ilvl w:val="0"/>
          <w:numId w:val="3"/>
        </w:num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S’agissant des marchés dont le lieu d’exécution est situé sur son territoire d’exercice, la</w:t>
      </w:r>
      <w:r w:rsidR="009E4C9D" w:rsidRPr="009E4C9D">
        <w:rPr>
          <w:rFonts w:ascii="Arial" w:eastAsia="Times New Roman" w:hAnsi="Arial" w:cs="Arial"/>
          <w:color w:val="00B050"/>
          <w:kern w:val="1"/>
          <w:lang w:eastAsia="zh-CN" w:bidi="en-US"/>
          <w14:ligatures w14:val="none"/>
        </w:rPr>
        <w:t xml:space="preserve"> </w:t>
      </w:r>
      <w:r w:rsidR="009E4C9D" w:rsidRPr="003126C2">
        <w:rPr>
          <w:rFonts w:ascii="Arial" w:eastAsia="Times New Roman" w:hAnsi="Arial" w:cs="Arial"/>
          <w:color w:val="00B050"/>
          <w:kern w:val="1"/>
          <w:lang w:eastAsia="zh-CN" w:bidi="en-US"/>
          <w14:ligatures w14:val="none"/>
        </w:rPr>
        <w:t>structure porteuse de la clause</w:t>
      </w:r>
      <w:r w:rsidRPr="00373AB4">
        <w:rPr>
          <w:rFonts w:ascii="Arial" w:eastAsia="Times New Roman" w:hAnsi="Arial" w:cs="Arial"/>
          <w:kern w:val="1"/>
          <w:lang w:eastAsia="zh-CN" w:bidi="en-US"/>
          <w14:ligatures w14:val="none"/>
        </w:rPr>
        <w:t xml:space="preserve"> agit en tant que facilitateur en direction du pouvoir adjudicateur pour assurer l’exécution des clauses sociales ;</w:t>
      </w:r>
    </w:p>
    <w:p w14:paraId="68E81A3D" w14:textId="39E084EE" w:rsidR="0016136B" w:rsidRPr="00C65874" w:rsidRDefault="0016136B" w:rsidP="0016136B">
      <w:pPr>
        <w:numPr>
          <w:ilvl w:val="0"/>
          <w:numId w:val="3"/>
        </w:numPr>
        <w:suppressAutoHyphens/>
        <w:spacing w:before="200" w:after="200" w:line="276" w:lineRule="auto"/>
        <w:jc w:val="both"/>
        <w:rPr>
          <w:rFonts w:ascii="Arial" w:eastAsia="Times New Roman" w:hAnsi="Arial" w:cs="Arial"/>
          <w:color w:val="FF0000"/>
          <w:kern w:val="1"/>
          <w:lang w:eastAsia="zh-CN" w:bidi="en-US"/>
          <w14:ligatures w14:val="none"/>
        </w:rPr>
      </w:pPr>
      <w:r w:rsidRPr="0031445A">
        <w:rPr>
          <w:rFonts w:ascii="Arial" w:eastAsia="Times New Roman" w:hAnsi="Arial" w:cs="Arial"/>
          <w:kern w:val="1"/>
          <w:highlight w:val="yellow"/>
          <w:lang w:eastAsia="zh-CN" w:bidi="en-US"/>
          <w14:ligatures w14:val="none"/>
        </w:rPr>
        <w:t xml:space="preserve">S’agissant des marchés </w:t>
      </w:r>
      <w:r w:rsidR="0031445A" w:rsidRPr="0031445A">
        <w:rPr>
          <w:rFonts w:ascii="Arial" w:eastAsia="Times New Roman" w:hAnsi="Arial" w:cs="Arial"/>
          <w:kern w:val="1"/>
          <w:highlight w:val="yellow"/>
          <w:lang w:eastAsia="zh-CN" w:bidi="en-US"/>
          <w14:ligatures w14:val="none"/>
        </w:rPr>
        <w:t>couvrant plusieurs territoires</w:t>
      </w:r>
      <w:r w:rsidRPr="0031445A">
        <w:rPr>
          <w:rFonts w:ascii="Arial" w:eastAsia="Times New Roman" w:hAnsi="Arial" w:cs="Arial"/>
          <w:kern w:val="1"/>
          <w:highlight w:val="yellow"/>
          <w:lang w:eastAsia="zh-CN" w:bidi="en-US"/>
          <w14:ligatures w14:val="none"/>
        </w:rPr>
        <w:t xml:space="preserve"> l</w:t>
      </w:r>
      <w:r w:rsidR="0031445A" w:rsidRPr="0031445A">
        <w:rPr>
          <w:rFonts w:ascii="Arial" w:eastAsia="Times New Roman" w:hAnsi="Arial" w:cs="Arial"/>
          <w:kern w:val="1"/>
          <w:highlight w:val="yellow"/>
          <w:lang w:eastAsia="zh-CN" w:bidi="en-US"/>
          <w14:ligatures w14:val="none"/>
        </w:rPr>
        <w:t>e coordinateur régional (Identité, Coordonnées ???) assurera le suivi de la mise en œuvre de la clause sociale en lien avec les facilitateurs/facilitatrices des territoires concernés.</w:t>
      </w:r>
      <w:r w:rsidR="003126C2" w:rsidRPr="003126C2">
        <w:rPr>
          <w:rFonts w:ascii="Arial" w:eastAsia="Times New Roman" w:hAnsi="Arial" w:cs="Arial"/>
          <w:color w:val="00B050"/>
          <w:kern w:val="1"/>
          <w:lang w:eastAsia="zh-CN" w:bidi="en-US"/>
          <w14:ligatures w14:val="none"/>
        </w:rPr>
        <w:t xml:space="preserve"> </w:t>
      </w:r>
      <w:r w:rsidR="00C65874" w:rsidRPr="00C65874">
        <w:rPr>
          <w:rFonts w:ascii="Arial" w:eastAsia="Times New Roman" w:hAnsi="Arial" w:cs="Arial"/>
          <w:color w:val="FF0000"/>
          <w:kern w:val="1"/>
          <w:lang w:eastAsia="zh-CN" w:bidi="en-US"/>
          <w14:ligatures w14:val="none"/>
        </w:rPr>
        <w:t>(</w:t>
      </w:r>
      <w:proofErr w:type="gramStart"/>
      <w:r w:rsidR="00C65874" w:rsidRPr="00C65874">
        <w:rPr>
          <w:rFonts w:ascii="Arial" w:eastAsia="Times New Roman" w:hAnsi="Arial" w:cs="Arial"/>
          <w:color w:val="FF0000"/>
          <w:kern w:val="1"/>
          <w:lang w:eastAsia="zh-CN" w:bidi="en-US"/>
          <w14:ligatures w14:val="none"/>
        </w:rPr>
        <w:t>à</w:t>
      </w:r>
      <w:proofErr w:type="gramEnd"/>
      <w:r w:rsidR="00C65874" w:rsidRPr="00C65874">
        <w:rPr>
          <w:rFonts w:ascii="Arial" w:eastAsia="Times New Roman" w:hAnsi="Arial" w:cs="Arial"/>
          <w:color w:val="FF0000"/>
          <w:kern w:val="1"/>
          <w:lang w:eastAsia="zh-CN" w:bidi="en-US"/>
          <w14:ligatures w14:val="none"/>
        </w:rPr>
        <w:t xml:space="preserve"> laisser en fonction du besoin)</w:t>
      </w:r>
    </w:p>
    <w:p w14:paraId="4E1EE72D" w14:textId="77777777"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p>
    <w:p w14:paraId="129781FE" w14:textId="77777777"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p>
    <w:p w14:paraId="59629C2D" w14:textId="7F8E8D4E"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r w:rsidRPr="00373AB4">
        <w:rPr>
          <w:rFonts w:ascii="Arial" w:eastAsia="Times New Roman" w:hAnsi="Arial" w:cs="Arial"/>
          <w:b/>
          <w:kern w:val="1"/>
          <w:sz w:val="24"/>
          <w:szCs w:val="24"/>
          <w:u w:val="single"/>
          <w:lang w:eastAsia="zh-CN" w:bidi="en-US"/>
          <w14:ligatures w14:val="none"/>
        </w:rPr>
        <w:t xml:space="preserve">Article IV – Engagements du </w:t>
      </w:r>
      <w:r w:rsidRPr="00373AB4">
        <w:rPr>
          <w:rFonts w:ascii="Arial" w:eastAsia="Times New Roman" w:hAnsi="Arial" w:cs="Arial"/>
          <w:b/>
          <w:color w:val="548DD4"/>
          <w:kern w:val="1"/>
          <w:sz w:val="24"/>
          <w:szCs w:val="24"/>
          <w:u w:val="single"/>
          <w:lang w:eastAsia="zh-CN" w:bidi="en-US"/>
          <w14:ligatures w14:val="none"/>
        </w:rPr>
        <w:t xml:space="preserve">Nom du </w:t>
      </w:r>
      <w:r w:rsidR="00A91FC7" w:rsidRPr="00A91FC7">
        <w:rPr>
          <w:rFonts w:ascii="Arial" w:eastAsia="Times New Roman" w:hAnsi="Arial" w:cs="Arial"/>
          <w:b/>
          <w:color w:val="548DD4"/>
          <w:kern w:val="1"/>
          <w:sz w:val="24"/>
          <w:szCs w:val="24"/>
          <w:u w:val="single"/>
          <w:lang w:eastAsia="zh-CN" w:bidi="en-US"/>
          <w14:ligatures w14:val="none"/>
        </w:rPr>
        <w:t>Donneur d’Ordre</w:t>
      </w:r>
    </w:p>
    <w:p w14:paraId="370E5F50" w14:textId="77777777"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p>
    <w:p w14:paraId="3D6B484B" w14:textId="79C87A73"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r w:rsidRPr="00373AB4">
        <w:rPr>
          <w:rFonts w:ascii="Arial" w:eastAsia="Times New Roman" w:hAnsi="Arial" w:cs="Arial"/>
          <w:kern w:val="1"/>
          <w:lang w:eastAsia="zh-CN" w:bidi="en-US"/>
          <w14:ligatures w14:val="none"/>
        </w:rPr>
        <w:t xml:space="preserve">Le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sollicitera la </w:t>
      </w:r>
      <w:r w:rsidR="003126C2" w:rsidRPr="003126C2">
        <w:rPr>
          <w:rFonts w:ascii="Arial" w:eastAsia="Times New Roman" w:hAnsi="Arial" w:cs="Arial"/>
          <w:color w:val="00B050"/>
          <w:kern w:val="1"/>
          <w:lang w:eastAsia="zh-CN" w:bidi="en-US"/>
          <w14:ligatures w14:val="none"/>
        </w:rPr>
        <w:t>structure porteuse de la clause</w:t>
      </w:r>
      <w:r w:rsidR="003126C2">
        <w:rPr>
          <w:rFonts w:ascii="Arial" w:eastAsia="Times New Roman" w:hAnsi="Arial" w:cs="Arial"/>
          <w:kern w:val="1"/>
          <w:lang w:eastAsia="zh-CN" w:bidi="en-US"/>
          <w14:ligatures w14:val="none"/>
        </w:rPr>
        <w:t xml:space="preserve"> </w:t>
      </w:r>
      <w:r w:rsidRPr="00373AB4">
        <w:rPr>
          <w:rFonts w:ascii="Arial" w:eastAsia="Times New Roman" w:hAnsi="Arial" w:cs="Arial"/>
          <w:kern w:val="1"/>
          <w:lang w:eastAsia="zh-CN" w:bidi="en-US"/>
          <w14:ligatures w14:val="none"/>
        </w:rPr>
        <w:t xml:space="preserve">pour les projets de marchés identifiés conjointement par les parties dans le cadre d’un programme annuel de </w:t>
      </w:r>
      <w:r w:rsidRPr="00373AB4">
        <w:rPr>
          <w:rFonts w:ascii="Arial" w:eastAsia="Times New Roman" w:hAnsi="Arial" w:cs="Arial"/>
          <w:kern w:val="1"/>
          <w:lang w:eastAsia="zh-CN" w:bidi="en-US"/>
          <w14:ligatures w14:val="none"/>
        </w:rPr>
        <w:lastRenderedPageBreak/>
        <w:t xml:space="preserve">partenariat, donc avant la publication d’un marché pour lequel il est prévu d’intégrer une clause sociale. </w:t>
      </w:r>
    </w:p>
    <w:p w14:paraId="57C142FB" w14:textId="77777777"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p>
    <w:p w14:paraId="2C3379F1" w14:textId="52EEEC6E"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r w:rsidRPr="00373AB4">
        <w:rPr>
          <w:rFonts w:ascii="Arial" w:eastAsia="Times New Roman" w:hAnsi="Arial" w:cs="Arial"/>
          <w:kern w:val="1"/>
          <w:lang w:eastAsia="zh-CN" w:bidi="en-US"/>
          <w14:ligatures w14:val="none"/>
        </w:rPr>
        <w:t>Pour ce faire, le</w:t>
      </w:r>
      <w:r w:rsidRPr="00373AB4">
        <w:rPr>
          <w:rFonts w:ascii="Arial" w:eastAsia="Times New Roman" w:hAnsi="Arial" w:cs="Arial"/>
          <w:color w:val="548DD4"/>
          <w:kern w:val="1"/>
          <w:lang w:eastAsia="zh-CN" w:bidi="en-US"/>
          <w14:ligatures w14:val="none"/>
        </w:rPr>
        <w:t xml:space="preserve"> 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color w:val="548DD4"/>
          <w:kern w:val="1"/>
          <w:lang w:eastAsia="zh-CN" w:bidi="en-US"/>
          <w14:ligatures w14:val="none"/>
        </w:rPr>
        <w:t xml:space="preserve"> </w:t>
      </w:r>
      <w:r w:rsidRPr="00373AB4">
        <w:rPr>
          <w:rFonts w:ascii="Arial" w:eastAsia="Times New Roman" w:hAnsi="Arial" w:cs="Arial"/>
          <w:kern w:val="1"/>
          <w:lang w:eastAsia="zh-CN" w:bidi="en-US"/>
          <w14:ligatures w14:val="none"/>
        </w:rPr>
        <w:t xml:space="preserve">transmettra une « fiche descriptive du projet d’achat » préparée par le service qui porte le projet de marché, et un avis motivé sera en retour adressé au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dans les plus brefs délais et au maximum dans les</w:t>
      </w:r>
      <w:r w:rsidR="000E5BBD">
        <w:rPr>
          <w:rFonts w:ascii="Arial" w:eastAsia="Times New Roman" w:hAnsi="Arial" w:cs="Arial"/>
          <w:kern w:val="1"/>
          <w:lang w:eastAsia="zh-CN" w:bidi="en-US"/>
          <w14:ligatures w14:val="none"/>
        </w:rPr>
        <w:t xml:space="preserve"> </w:t>
      </w:r>
      <w:r w:rsidR="00C65874" w:rsidRPr="00C65874">
        <w:rPr>
          <w:rFonts w:ascii="Arial" w:eastAsia="Times New Roman" w:hAnsi="Arial" w:cs="Arial"/>
          <w:color w:val="FF0000"/>
          <w:kern w:val="1"/>
          <w:lang w:eastAsia="zh-CN" w:bidi="en-US"/>
          <w14:ligatures w14:val="none"/>
        </w:rPr>
        <w:t>15 jours</w:t>
      </w:r>
      <w:r w:rsidRPr="00C65874">
        <w:rPr>
          <w:rFonts w:ascii="Arial" w:eastAsia="Times New Roman" w:hAnsi="Arial" w:cs="Arial"/>
          <w:color w:val="FF0000"/>
          <w:kern w:val="1"/>
          <w:lang w:eastAsia="zh-CN" w:bidi="en-US"/>
          <w14:ligatures w14:val="none"/>
        </w:rPr>
        <w:t xml:space="preserve"> </w:t>
      </w:r>
      <w:r w:rsidRPr="00373AB4">
        <w:rPr>
          <w:rFonts w:ascii="Arial" w:eastAsia="Times New Roman" w:hAnsi="Arial" w:cs="Arial"/>
          <w:kern w:val="1"/>
          <w:lang w:eastAsia="zh-CN" w:bidi="en-US"/>
          <w14:ligatures w14:val="none"/>
        </w:rPr>
        <w:t>suivant la saisine.</w:t>
      </w:r>
    </w:p>
    <w:p w14:paraId="4DD9D576" w14:textId="77777777"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p>
    <w:p w14:paraId="38DEF193" w14:textId="426D248A"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r w:rsidRPr="00373AB4">
        <w:rPr>
          <w:rFonts w:ascii="Arial" w:eastAsia="Times New Roman" w:hAnsi="Arial" w:cs="Arial"/>
          <w:kern w:val="1"/>
          <w:lang w:eastAsia="zh-CN" w:bidi="en-US"/>
          <w14:ligatures w14:val="none"/>
        </w:rPr>
        <w:t xml:space="preserve">Le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communique également à la</w:t>
      </w:r>
      <w:r w:rsidR="003126C2" w:rsidRPr="003126C2">
        <w:rPr>
          <w:rFonts w:ascii="Arial" w:eastAsia="Times New Roman" w:hAnsi="Arial" w:cs="Arial"/>
          <w:color w:val="00B050"/>
          <w:kern w:val="1"/>
          <w:lang w:eastAsia="zh-CN" w:bidi="en-US"/>
          <w14:ligatures w14:val="none"/>
        </w:rPr>
        <w:t xml:space="preserve"> structure porteuse de la clause</w:t>
      </w:r>
      <w:r w:rsidRPr="00373AB4">
        <w:rPr>
          <w:rFonts w:ascii="Arial" w:eastAsia="Times New Roman" w:hAnsi="Arial" w:cs="Arial"/>
          <w:kern w:val="1"/>
          <w:lang w:eastAsia="zh-CN" w:bidi="en-US"/>
          <w14:ligatures w14:val="none"/>
        </w:rPr>
        <w:t xml:space="preserve"> lorsque l’analyse initiale de la « fiche descriptive du projet d’achat » a fait apparaître l’opportunité d’insérer des clauses sociales, le dossier de consultation des entreprises en amont de la consultation, pour rédaction, calibrage de la clause et du suivi de son exécution par l</w:t>
      </w:r>
      <w:r w:rsidR="007647EC">
        <w:rPr>
          <w:rFonts w:ascii="Arial" w:eastAsia="Times New Roman" w:hAnsi="Arial" w:cs="Arial"/>
          <w:kern w:val="1"/>
          <w:lang w:eastAsia="zh-CN" w:bidi="en-US"/>
          <w14:ligatures w14:val="none"/>
        </w:rPr>
        <w:t xml:space="preserve">a </w:t>
      </w:r>
      <w:r w:rsidR="003126C2" w:rsidRPr="003126C2">
        <w:rPr>
          <w:rFonts w:ascii="Arial" w:eastAsia="Times New Roman" w:hAnsi="Arial" w:cs="Arial"/>
          <w:color w:val="00B050"/>
          <w:kern w:val="1"/>
          <w:lang w:eastAsia="zh-CN" w:bidi="en-US"/>
          <w14:ligatures w14:val="none"/>
        </w:rPr>
        <w:t>structure porteuse de la clause</w:t>
      </w:r>
      <w:r w:rsidRPr="00373AB4">
        <w:rPr>
          <w:rFonts w:ascii="Arial" w:eastAsia="Times New Roman" w:hAnsi="Arial" w:cs="Arial"/>
          <w:kern w:val="1"/>
          <w:lang w:eastAsia="zh-CN" w:bidi="en-US"/>
          <w14:ligatures w14:val="none"/>
        </w:rPr>
        <w:t>.</w:t>
      </w:r>
    </w:p>
    <w:p w14:paraId="5BE668D8" w14:textId="77777777"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p>
    <w:p w14:paraId="31511B82" w14:textId="6E5D929B"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r w:rsidRPr="00373AB4">
        <w:rPr>
          <w:rFonts w:ascii="Arial" w:eastAsia="Times New Roman" w:hAnsi="Arial" w:cs="Arial"/>
          <w:color w:val="548DD4"/>
          <w:kern w:val="1"/>
          <w:lang w:eastAsia="zh-CN" w:bidi="en-US"/>
          <w14:ligatures w14:val="none"/>
        </w:rPr>
        <w:t xml:space="preserve">Le 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transmet également le DCE une fois que celui-ci est publié à la </w:t>
      </w:r>
      <w:r w:rsidR="003126C2" w:rsidRPr="003126C2">
        <w:rPr>
          <w:rFonts w:ascii="Arial" w:eastAsia="Times New Roman" w:hAnsi="Arial" w:cs="Arial"/>
          <w:color w:val="00B050"/>
          <w:kern w:val="1"/>
          <w:lang w:eastAsia="zh-CN" w:bidi="en-US"/>
          <w14:ligatures w14:val="none"/>
        </w:rPr>
        <w:t>structure porteuse de la clause</w:t>
      </w:r>
      <w:r w:rsidRPr="00373AB4">
        <w:rPr>
          <w:rFonts w:ascii="Arial" w:eastAsia="Times New Roman" w:hAnsi="Arial" w:cs="Arial"/>
          <w:kern w:val="1"/>
          <w:lang w:eastAsia="zh-CN" w:bidi="en-US"/>
          <w14:ligatures w14:val="none"/>
        </w:rPr>
        <w:t>, de même que les questions des candidats en lien avec la clause.</w:t>
      </w:r>
    </w:p>
    <w:p w14:paraId="0F99196E" w14:textId="77777777"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p>
    <w:p w14:paraId="7F714435" w14:textId="1C38A800"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r w:rsidRPr="00373AB4">
        <w:rPr>
          <w:rFonts w:ascii="Arial" w:eastAsia="Times New Roman" w:hAnsi="Arial" w:cs="Arial"/>
          <w:kern w:val="1"/>
          <w:lang w:eastAsia="zh-CN" w:bidi="en-US"/>
          <w14:ligatures w14:val="none"/>
        </w:rPr>
        <w:t>Une fois le marché attribué,</w:t>
      </w:r>
      <w:r w:rsidRPr="00373AB4">
        <w:rPr>
          <w:rFonts w:ascii="Arial" w:eastAsia="Times New Roman" w:hAnsi="Arial" w:cs="Arial"/>
          <w:color w:val="548DD4"/>
          <w:kern w:val="1"/>
          <w:lang w:eastAsia="zh-CN" w:bidi="en-US"/>
          <w14:ligatures w14:val="none"/>
        </w:rPr>
        <w:t xml:space="preserve"> le 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communique à la </w:t>
      </w:r>
      <w:r w:rsidR="003126C2" w:rsidRPr="003126C2">
        <w:rPr>
          <w:rFonts w:ascii="Arial" w:eastAsia="Times New Roman" w:hAnsi="Arial" w:cs="Arial"/>
          <w:color w:val="00B050"/>
          <w:kern w:val="1"/>
          <w:lang w:eastAsia="zh-CN" w:bidi="en-US"/>
          <w14:ligatures w14:val="none"/>
        </w:rPr>
        <w:t>structure porteuse de la clause</w:t>
      </w:r>
      <w:r w:rsidR="003126C2">
        <w:rPr>
          <w:rFonts w:ascii="Arial" w:eastAsia="Times New Roman" w:hAnsi="Arial" w:cs="Arial"/>
          <w:kern w:val="1"/>
          <w:lang w:eastAsia="zh-CN" w:bidi="en-US"/>
          <w14:ligatures w14:val="none"/>
        </w:rPr>
        <w:t xml:space="preserve"> </w:t>
      </w:r>
      <w:r w:rsidRPr="00373AB4">
        <w:rPr>
          <w:rFonts w:ascii="Arial" w:eastAsia="Times New Roman" w:hAnsi="Arial" w:cs="Arial"/>
          <w:kern w:val="1"/>
          <w:lang w:eastAsia="zh-CN" w:bidi="en-US"/>
          <w14:ligatures w14:val="none"/>
        </w:rPr>
        <w:t>le nom et les coordonnées de l’attributaire.</w:t>
      </w:r>
    </w:p>
    <w:p w14:paraId="3752AEC0" w14:textId="77777777"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p>
    <w:p w14:paraId="7A06BB36" w14:textId="1AB3DCBE"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r w:rsidRPr="00373AB4">
        <w:rPr>
          <w:rFonts w:ascii="Arial" w:eastAsia="Times New Roman" w:hAnsi="Arial" w:cs="Arial"/>
          <w:kern w:val="1"/>
          <w:lang w:eastAsia="zh-CN" w:bidi="en-US"/>
          <w14:ligatures w14:val="none"/>
        </w:rPr>
        <w:t xml:space="preserve">De plus, le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color w:val="548DD4"/>
          <w:kern w:val="1"/>
          <w:lang w:eastAsia="zh-CN" w:bidi="en-US"/>
          <w14:ligatures w14:val="none"/>
        </w:rPr>
        <w:t xml:space="preserve"> </w:t>
      </w:r>
      <w:r w:rsidRPr="00373AB4">
        <w:rPr>
          <w:rFonts w:ascii="Arial" w:eastAsia="Times New Roman" w:hAnsi="Arial" w:cs="Arial"/>
          <w:kern w:val="1"/>
          <w:lang w:eastAsia="zh-CN" w:bidi="en-US"/>
          <w14:ligatures w14:val="none"/>
        </w:rPr>
        <w:t xml:space="preserve">invite la </w:t>
      </w:r>
      <w:r w:rsidR="003126C2" w:rsidRPr="003126C2">
        <w:rPr>
          <w:rFonts w:ascii="Arial" w:eastAsia="Times New Roman" w:hAnsi="Arial" w:cs="Arial"/>
          <w:color w:val="00B050"/>
          <w:kern w:val="1"/>
          <w:lang w:eastAsia="zh-CN" w:bidi="en-US"/>
          <w14:ligatures w14:val="none"/>
        </w:rPr>
        <w:t>structure porteuse de la clause</w:t>
      </w:r>
      <w:r w:rsidR="003126C2">
        <w:rPr>
          <w:rFonts w:ascii="Arial" w:eastAsia="Times New Roman" w:hAnsi="Arial" w:cs="Arial"/>
          <w:kern w:val="1"/>
          <w:lang w:eastAsia="zh-CN" w:bidi="en-US"/>
          <w14:ligatures w14:val="none"/>
        </w:rPr>
        <w:t xml:space="preserve"> </w:t>
      </w:r>
      <w:r w:rsidRPr="00373AB4">
        <w:rPr>
          <w:rFonts w:ascii="Arial" w:eastAsia="Times New Roman" w:hAnsi="Arial" w:cs="Arial"/>
          <w:kern w:val="1"/>
          <w:lang w:eastAsia="zh-CN" w:bidi="en-US"/>
          <w14:ligatures w14:val="none"/>
        </w:rPr>
        <w:t>à participer à la première réunion de démarrage, la « réunion zéro », lorsqu’elle a lieu.</w:t>
      </w:r>
    </w:p>
    <w:p w14:paraId="6F49010C" w14:textId="77777777"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p>
    <w:p w14:paraId="1D593274" w14:textId="34347D5D" w:rsidR="000E5BBD" w:rsidRDefault="000E5BBD" w:rsidP="000E5BBD">
      <w:pPr>
        <w:suppressAutoHyphens/>
        <w:spacing w:after="0" w:line="276" w:lineRule="auto"/>
        <w:jc w:val="both"/>
        <w:rPr>
          <w:rFonts w:ascii="Tahoma" w:eastAsia="Times New Roman" w:hAnsi="Tahoma" w:cs="Tahoma"/>
          <w:kern w:val="1"/>
          <w:szCs w:val="20"/>
          <w:lang w:eastAsia="zh-CN" w:bidi="en-US"/>
          <w14:ligatures w14:val="none"/>
        </w:rPr>
      </w:pPr>
      <w:r>
        <w:rPr>
          <w:rFonts w:ascii="Tahoma" w:eastAsia="Times New Roman" w:hAnsi="Tahoma" w:cs="Tahoma"/>
          <w:kern w:val="1"/>
          <w:szCs w:val="20"/>
          <w:lang w:eastAsia="zh-CN" w:bidi="en-US"/>
          <w14:ligatures w14:val="none"/>
        </w:rPr>
        <w:t xml:space="preserve">Le cas échéant, le donneur d’ordre informe le </w:t>
      </w:r>
      <w:r>
        <w:rPr>
          <w:rFonts w:ascii="Tahoma" w:eastAsia="Times New Roman" w:hAnsi="Tahoma" w:cs="Tahoma"/>
          <w:kern w:val="1"/>
          <w:szCs w:val="20"/>
          <w:lang w:eastAsia="zh-CN" w:bidi="en-US"/>
          <w14:ligatures w14:val="none"/>
        </w:rPr>
        <w:t>Facilitateur</w:t>
      </w:r>
      <w:r>
        <w:rPr>
          <w:rFonts w:ascii="Tahoma" w:eastAsia="Times New Roman" w:hAnsi="Tahoma" w:cs="Tahoma"/>
          <w:kern w:val="1"/>
          <w:szCs w:val="20"/>
          <w:lang w:eastAsia="zh-CN" w:bidi="en-US"/>
          <w14:ligatures w14:val="none"/>
        </w:rPr>
        <w:t xml:space="preserve"> de l’état des commandes de ces marchés.</w:t>
      </w:r>
    </w:p>
    <w:p w14:paraId="01F13C66" w14:textId="77777777" w:rsidR="000E5BBD" w:rsidRPr="00373AB4" w:rsidRDefault="000E5BBD" w:rsidP="000E5BBD">
      <w:pPr>
        <w:suppressAutoHyphens/>
        <w:spacing w:after="0" w:line="276" w:lineRule="auto"/>
        <w:jc w:val="both"/>
        <w:rPr>
          <w:rFonts w:ascii="Tahoma" w:eastAsia="Times New Roman" w:hAnsi="Tahoma" w:cs="Tahoma"/>
          <w:kern w:val="1"/>
          <w:szCs w:val="20"/>
          <w:lang w:eastAsia="zh-CN" w:bidi="en-US"/>
          <w14:ligatures w14:val="none"/>
        </w:rPr>
      </w:pPr>
    </w:p>
    <w:p w14:paraId="5EBA2211" w14:textId="1C0C8C7A"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 xml:space="preserve">Un suivi technique est assuré par la </w:t>
      </w:r>
      <w:r w:rsidR="003126C2" w:rsidRPr="003126C2">
        <w:rPr>
          <w:rFonts w:ascii="Arial" w:eastAsia="Times New Roman" w:hAnsi="Arial" w:cs="Arial"/>
          <w:color w:val="00B050"/>
          <w:kern w:val="1"/>
          <w:lang w:eastAsia="zh-CN" w:bidi="en-US"/>
          <w14:ligatures w14:val="none"/>
        </w:rPr>
        <w:t>structure porteuse de la clause</w:t>
      </w:r>
      <w:r w:rsidR="003126C2">
        <w:rPr>
          <w:rFonts w:ascii="Arial" w:eastAsia="Times New Roman" w:hAnsi="Arial" w:cs="Arial"/>
          <w:kern w:val="1"/>
          <w:lang w:eastAsia="zh-CN" w:bidi="en-US"/>
          <w14:ligatures w14:val="none"/>
        </w:rPr>
        <w:t xml:space="preserve"> </w:t>
      </w:r>
      <w:r w:rsidRPr="00373AB4">
        <w:rPr>
          <w:rFonts w:ascii="Arial" w:eastAsia="Times New Roman" w:hAnsi="Arial" w:cs="Arial"/>
          <w:kern w:val="1"/>
          <w:lang w:eastAsia="zh-CN" w:bidi="en-US"/>
          <w14:ligatures w14:val="none"/>
        </w:rPr>
        <w:t xml:space="preserve">au profit du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w:t>
      </w:r>
    </w:p>
    <w:p w14:paraId="25B9D7FE" w14:textId="42A93A0C" w:rsidR="0016136B" w:rsidRPr="00373AB4" w:rsidRDefault="0016136B" w:rsidP="0016136B">
      <w:pPr>
        <w:suppressAutoHyphens/>
        <w:spacing w:before="360" w:after="0" w:line="240"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 xml:space="preserve">Une réunion de suivi peut également avoir lieu, si nécessaire et selon un rythme à définir et en fonction de l’objet du marché, entre le chargé de projet clauses d’insertion de la </w:t>
      </w:r>
      <w:r w:rsidR="003126C2" w:rsidRPr="003126C2">
        <w:rPr>
          <w:rFonts w:ascii="Arial" w:eastAsia="Times New Roman" w:hAnsi="Arial" w:cs="Arial"/>
          <w:color w:val="00B050"/>
          <w:kern w:val="1"/>
          <w:lang w:eastAsia="zh-CN" w:bidi="en-US"/>
          <w14:ligatures w14:val="none"/>
        </w:rPr>
        <w:t>structure porteuse de la clause</w:t>
      </w:r>
      <w:r w:rsidR="003126C2">
        <w:rPr>
          <w:rFonts w:ascii="Arial" w:eastAsia="Times New Roman" w:hAnsi="Arial" w:cs="Arial"/>
          <w:kern w:val="1"/>
          <w:lang w:eastAsia="zh-CN" w:bidi="en-US"/>
          <w14:ligatures w14:val="none"/>
        </w:rPr>
        <w:t xml:space="preserve"> </w:t>
      </w:r>
      <w:r w:rsidRPr="00373AB4">
        <w:rPr>
          <w:rFonts w:ascii="Arial" w:eastAsia="Times New Roman" w:hAnsi="Arial" w:cs="Arial"/>
          <w:kern w:val="1"/>
          <w:lang w:eastAsia="zh-CN" w:bidi="en-US"/>
          <w14:ligatures w14:val="none"/>
        </w:rPr>
        <w:t xml:space="preserve">et le responsable des achats du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F1019A">
        <w:rPr>
          <w:rFonts w:ascii="Arial" w:eastAsia="Times New Roman" w:hAnsi="Arial" w:cs="Arial"/>
          <w:kern w:val="1"/>
          <w:lang w:eastAsia="zh-CN" w:bidi="en-US"/>
          <w14:ligatures w14:val="none"/>
        </w:rPr>
        <w:t>.</w:t>
      </w:r>
      <w:r w:rsidRPr="00373AB4">
        <w:rPr>
          <w:rFonts w:ascii="Arial" w:eastAsia="Times New Roman" w:hAnsi="Arial" w:cs="Arial"/>
          <w:kern w:val="1"/>
          <w:lang w:eastAsia="zh-CN" w:bidi="en-US"/>
          <w14:ligatures w14:val="none"/>
        </w:rPr>
        <w:t xml:space="preserve"> </w:t>
      </w:r>
    </w:p>
    <w:p w14:paraId="65A001BD" w14:textId="77777777" w:rsidR="0016136B" w:rsidRPr="00373AB4" w:rsidRDefault="0016136B" w:rsidP="0016136B">
      <w:pPr>
        <w:suppressAutoHyphens/>
        <w:spacing w:before="360" w:after="0" w:line="240"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 xml:space="preserve">Pour chaque marché dont l’état d’avancement du taux de réalisation de la clause sociale est inférieur aux objectifs fixés, un plan d’action est élaboré par les parties prenantes pour résoudre les difficultés rencontrées. </w:t>
      </w:r>
    </w:p>
    <w:p w14:paraId="466FA107" w14:textId="1581504E" w:rsidR="0016136B" w:rsidRPr="00373AB4" w:rsidRDefault="0016136B" w:rsidP="0016136B">
      <w:pPr>
        <w:suppressAutoHyphens/>
        <w:spacing w:before="360" w:after="0" w:line="240"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 xml:space="preserve">Le cas échéant, le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rappelle au(x) titulaire(s) du marché leurs engagements en matière d’insertion et il applique les éventuelles sanctions prévues au contrat.</w:t>
      </w:r>
    </w:p>
    <w:p w14:paraId="43815C90" w14:textId="77777777" w:rsidR="0016136B" w:rsidRPr="00373AB4" w:rsidRDefault="0016136B" w:rsidP="0016136B">
      <w:pPr>
        <w:suppressAutoHyphens/>
        <w:spacing w:after="0" w:line="240" w:lineRule="auto"/>
        <w:jc w:val="both"/>
        <w:rPr>
          <w:rFonts w:ascii="Arial" w:eastAsia="Times New Roman" w:hAnsi="Arial" w:cs="Arial"/>
          <w:kern w:val="1"/>
          <w:lang w:eastAsia="zh-CN" w:bidi="en-US"/>
          <w14:ligatures w14:val="none"/>
        </w:rPr>
      </w:pPr>
    </w:p>
    <w:p w14:paraId="39E14AC5" w14:textId="17E1B9DC" w:rsidR="0016136B" w:rsidRPr="00373AB4" w:rsidRDefault="0016136B" w:rsidP="00C65874">
      <w:pPr>
        <w:suppressAutoHyphens/>
        <w:spacing w:after="0" w:line="240" w:lineRule="auto"/>
        <w:jc w:val="both"/>
        <w:rPr>
          <w:rFonts w:ascii="Arial" w:eastAsia="Times New Roman" w:hAnsi="Arial" w:cs="Arial"/>
          <w:kern w:val="1"/>
          <w:lang w:eastAsia="zh-CN" w:bidi="en-US"/>
          <w14:ligatures w14:val="none"/>
        </w:rPr>
      </w:pPr>
      <w:r w:rsidRPr="00C65874">
        <w:rPr>
          <w:rFonts w:ascii="Arial" w:eastAsia="Times New Roman" w:hAnsi="Arial" w:cs="Arial"/>
          <w:color w:val="FF0000"/>
          <w:kern w:val="1"/>
          <w:highlight w:val="yellow"/>
          <w:lang w:eastAsia="zh-CN" w:bidi="en-US"/>
          <w14:ligatures w14:val="none"/>
        </w:rPr>
        <w:t xml:space="preserve">Un bilan intermédiaire par </w:t>
      </w:r>
      <w:r w:rsidR="00C65874" w:rsidRPr="00C65874">
        <w:rPr>
          <w:rFonts w:ascii="Arial" w:eastAsia="Times New Roman" w:hAnsi="Arial" w:cs="Arial"/>
          <w:color w:val="FF0000"/>
          <w:kern w:val="1"/>
          <w:highlight w:val="yellow"/>
          <w:lang w:eastAsia="zh-CN" w:bidi="en-US"/>
          <w14:ligatures w14:val="none"/>
        </w:rPr>
        <w:t xml:space="preserve">marché </w:t>
      </w:r>
      <w:r w:rsidR="00C65874" w:rsidRPr="00C65874">
        <w:rPr>
          <w:rFonts w:ascii="Arial" w:eastAsia="Times New Roman" w:hAnsi="Arial" w:cs="Arial"/>
          <w:color w:val="FF0000"/>
          <w:kern w:val="1"/>
          <w:lang w:eastAsia="zh-CN" w:bidi="en-US"/>
          <w14:ligatures w14:val="none"/>
        </w:rPr>
        <w:t>ainsi qu’u</w:t>
      </w:r>
      <w:r w:rsidRPr="00C65874">
        <w:rPr>
          <w:rFonts w:ascii="Arial" w:eastAsia="Times New Roman" w:hAnsi="Arial" w:cs="Arial"/>
          <w:color w:val="FF0000"/>
          <w:kern w:val="1"/>
          <w:lang w:eastAsia="zh-CN" w:bidi="en-US"/>
          <w14:ligatures w14:val="none"/>
        </w:rPr>
        <w:t xml:space="preserve">n bilan </w:t>
      </w:r>
      <w:r w:rsidRPr="00373AB4">
        <w:rPr>
          <w:rFonts w:ascii="Arial" w:eastAsia="Times New Roman" w:hAnsi="Arial" w:cs="Arial"/>
          <w:kern w:val="1"/>
          <w:lang w:eastAsia="zh-CN" w:bidi="en-US"/>
          <w14:ligatures w14:val="none"/>
        </w:rPr>
        <w:t xml:space="preserve">annuel global est également réalisé par la </w:t>
      </w:r>
      <w:r w:rsidR="003126C2" w:rsidRPr="003126C2">
        <w:rPr>
          <w:rFonts w:ascii="Arial" w:eastAsia="Times New Roman" w:hAnsi="Arial" w:cs="Arial"/>
          <w:color w:val="00B050"/>
          <w:kern w:val="1"/>
          <w:lang w:eastAsia="zh-CN" w:bidi="en-US"/>
          <w14:ligatures w14:val="none"/>
        </w:rPr>
        <w:t>structure porteuse de la clause</w:t>
      </w:r>
      <w:r w:rsidRPr="00373AB4">
        <w:rPr>
          <w:rFonts w:ascii="Arial" w:eastAsia="Times New Roman" w:hAnsi="Arial" w:cs="Arial"/>
          <w:kern w:val="1"/>
          <w:lang w:eastAsia="zh-CN" w:bidi="en-US"/>
          <w14:ligatures w14:val="none"/>
        </w:rPr>
        <w:t xml:space="preserve">. Il porte sur les résultats quantitatifs et qualitatifs des actions d’insertion engagées par les entreprises attributaires. Il est transmis au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color w:val="548DD4"/>
          <w:kern w:val="1"/>
          <w:lang w:eastAsia="zh-CN" w:bidi="en-US"/>
          <w14:ligatures w14:val="none"/>
        </w:rPr>
        <w:t xml:space="preserve"> </w:t>
      </w:r>
      <w:r w:rsidRPr="00373AB4">
        <w:rPr>
          <w:rFonts w:ascii="Arial" w:eastAsia="Times New Roman" w:hAnsi="Arial" w:cs="Arial"/>
          <w:kern w:val="1"/>
          <w:lang w:eastAsia="zh-CN" w:bidi="en-US"/>
          <w14:ligatures w14:val="none"/>
        </w:rPr>
        <w:t>et peut faire l’objet d’une communication événementielle dans les conditions définies à l’article VI de la présente convention.</w:t>
      </w:r>
    </w:p>
    <w:p w14:paraId="05A61A72" w14:textId="77777777" w:rsidR="0016136B" w:rsidRPr="00373AB4" w:rsidRDefault="0016136B" w:rsidP="0016136B">
      <w:pPr>
        <w:suppressAutoHyphens/>
        <w:spacing w:before="360" w:after="360" w:line="276" w:lineRule="auto"/>
        <w:jc w:val="both"/>
        <w:rPr>
          <w:rFonts w:ascii="Arial" w:eastAsia="Times New Roman" w:hAnsi="Arial" w:cs="Arial"/>
          <w:kern w:val="1"/>
          <w:lang w:eastAsia="zh-CN" w:bidi="en-US"/>
          <w14:ligatures w14:val="none"/>
        </w:rPr>
      </w:pPr>
      <w:r w:rsidRPr="00373AB4">
        <w:rPr>
          <w:rFonts w:ascii="Arial" w:eastAsia="Times New Roman" w:hAnsi="Arial" w:cs="Arial"/>
          <w:b/>
          <w:kern w:val="1"/>
          <w:sz w:val="24"/>
          <w:szCs w:val="24"/>
          <w:u w:val="single"/>
          <w:lang w:eastAsia="zh-CN" w:bidi="en-US"/>
          <w14:ligatures w14:val="none"/>
        </w:rPr>
        <w:t>Article V – Entrée en vigueur et durée de la convention</w:t>
      </w:r>
    </w:p>
    <w:p w14:paraId="50514574" w14:textId="77777777" w:rsidR="0016136B" w:rsidRPr="00373AB4" w:rsidRDefault="0016136B" w:rsidP="0016136B">
      <w:p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lastRenderedPageBreak/>
        <w:t>La présente convention est conclue pour une durée d’un an à compter de sa signature et est renouvelable par tacite reconduction. En cas de non-reconduction, la Partie concernée notifie sa décision trois mois avant la fin de la durée de la présente convention, par courrier recommandé avec accusé de réception ou par tout autre moyen permettant de donner une date certaine à sa réception.</w:t>
      </w:r>
    </w:p>
    <w:p w14:paraId="58E25C44" w14:textId="23A6E918" w:rsidR="0016136B" w:rsidRPr="00373AB4" w:rsidRDefault="0016136B" w:rsidP="0016136B">
      <w:p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 xml:space="preserve">Cette non-reconduction ou l’arrivée à terme de la convention ne met pas automatiquement fin au suivi des marchés en cours de passation et d’exécution sauf intention contraire exprimée par le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w:t>
      </w:r>
    </w:p>
    <w:p w14:paraId="7EFA7078" w14:textId="77777777"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Elle entre en vigueur à compter de la date de signature de la présente convention.</w:t>
      </w:r>
    </w:p>
    <w:p w14:paraId="68B9AEA4" w14:textId="77777777" w:rsidR="0016136B" w:rsidRPr="00373AB4" w:rsidRDefault="0016136B" w:rsidP="0016136B">
      <w:pPr>
        <w:suppressAutoHyphens/>
        <w:spacing w:before="200" w:after="36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Il peut être mis fin à la présente convention en cas de manquement(s) de l’une ou l’autre des parties à tout ou partie de ses engagements conventionnels.</w:t>
      </w:r>
    </w:p>
    <w:p w14:paraId="366DBDF1" w14:textId="77777777"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En cas de non-respect de l’une ou l’autre des parties à tout ou partie de ses engagements conventionnels, la partie lésée, après avoir constaté le(s) manquement(s), met en demeure, par lettre recommandée avec accusé de réception, la partie auteur du (des) manquement(s) d’exécuter correctement ses engagements dans un délai de deux mois à compter de la réception du courrier.</w:t>
      </w:r>
    </w:p>
    <w:p w14:paraId="2B1CA3C3" w14:textId="77777777" w:rsidR="0016136B" w:rsidRDefault="0016136B" w:rsidP="0016136B">
      <w:pPr>
        <w:suppressAutoHyphens/>
        <w:spacing w:before="200" w:after="36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En cas de mise en demeure restée sans effet, la partie lésée peut mettre fin à la présente convention. Cette résiliation n’ouvre droit à aucune indemnité.</w:t>
      </w:r>
    </w:p>
    <w:p w14:paraId="40F56B02" w14:textId="297B4F64" w:rsidR="00C130B2" w:rsidRDefault="00C130B2" w:rsidP="00C130B2">
      <w:pPr>
        <w:suppressAutoHyphens/>
        <w:spacing w:before="360" w:after="360" w:line="276" w:lineRule="auto"/>
        <w:jc w:val="both"/>
        <w:rPr>
          <w:rFonts w:ascii="Arial" w:eastAsia="Times New Roman" w:hAnsi="Arial" w:cs="Arial"/>
          <w:b/>
          <w:bCs/>
          <w:caps/>
          <w:kern w:val="1"/>
          <w:sz w:val="24"/>
          <w:szCs w:val="24"/>
          <w:u w:val="single"/>
          <w:lang w:eastAsia="zh-CN" w:bidi="en-US"/>
          <w14:ligatures w14:val="none"/>
        </w:rPr>
      </w:pPr>
      <w:r w:rsidRPr="00373AB4">
        <w:rPr>
          <w:rFonts w:ascii="Arial" w:eastAsia="Times New Roman" w:hAnsi="Arial" w:cs="Arial"/>
          <w:b/>
          <w:bCs/>
          <w:caps/>
          <w:kern w:val="1"/>
          <w:sz w:val="24"/>
          <w:szCs w:val="24"/>
          <w:u w:val="single"/>
          <w:lang w:eastAsia="zh-CN" w:bidi="en-US"/>
          <w14:ligatures w14:val="none"/>
        </w:rPr>
        <w:t xml:space="preserve">Article VI – </w:t>
      </w:r>
      <w:r>
        <w:rPr>
          <w:rFonts w:ascii="Arial" w:eastAsia="Times New Roman" w:hAnsi="Arial" w:cs="Arial"/>
          <w:b/>
          <w:bCs/>
          <w:caps/>
          <w:kern w:val="1"/>
          <w:sz w:val="24"/>
          <w:szCs w:val="24"/>
          <w:u w:val="single"/>
          <w:lang w:eastAsia="zh-CN" w:bidi="en-US"/>
          <w14:ligatures w14:val="none"/>
        </w:rPr>
        <w:t>REVISION DE LA CONVENTION</w:t>
      </w:r>
    </w:p>
    <w:p w14:paraId="0BE3AA38" w14:textId="6F15D2B9" w:rsidR="00C130B2" w:rsidRPr="00C130B2" w:rsidRDefault="00C130B2" w:rsidP="00C130B2">
      <w:pPr>
        <w:suppressAutoHyphens/>
        <w:spacing w:before="360" w:after="360" w:line="276" w:lineRule="auto"/>
        <w:jc w:val="both"/>
        <w:rPr>
          <w:rFonts w:ascii="Arial" w:eastAsia="Times New Roman" w:hAnsi="Arial" w:cs="Arial"/>
          <w:caps/>
          <w:kern w:val="1"/>
          <w:lang w:eastAsia="zh-CN" w:bidi="en-US"/>
          <w14:ligatures w14:val="none"/>
        </w:rPr>
      </w:pPr>
      <w:proofErr w:type="gramStart"/>
      <w:r w:rsidRPr="00C130B2">
        <w:rPr>
          <w:rFonts w:ascii="Arial" w:eastAsia="Times New Roman" w:hAnsi="Arial" w:cs="Arial"/>
          <w:kern w:val="1"/>
          <w:lang w:eastAsia="zh-CN" w:bidi="en-US"/>
          <w14:ligatures w14:val="none"/>
        </w:rPr>
        <w:t>la</w:t>
      </w:r>
      <w:proofErr w:type="gramEnd"/>
      <w:r w:rsidRPr="00C130B2">
        <w:rPr>
          <w:rFonts w:ascii="Arial" w:eastAsia="Times New Roman" w:hAnsi="Arial" w:cs="Arial"/>
          <w:kern w:val="1"/>
          <w:lang w:eastAsia="zh-CN" w:bidi="en-US"/>
          <w14:ligatures w14:val="none"/>
        </w:rPr>
        <w:t xml:space="preserve"> présente</w:t>
      </w:r>
      <w:r>
        <w:rPr>
          <w:rFonts w:ascii="Arial" w:eastAsia="Times New Roman" w:hAnsi="Arial" w:cs="Arial"/>
          <w:kern w:val="1"/>
          <w:lang w:eastAsia="zh-CN" w:bidi="en-US"/>
          <w14:ligatures w14:val="none"/>
        </w:rPr>
        <w:t xml:space="preserve"> convention peut être modifiée annuellement par voie d’avenant, si nécessaire, sur proposition de l’une ou l’autre des parties ;</w:t>
      </w:r>
    </w:p>
    <w:p w14:paraId="49353B9D" w14:textId="77777777" w:rsidR="0016136B" w:rsidRPr="00373AB4" w:rsidRDefault="0016136B" w:rsidP="0016136B">
      <w:pPr>
        <w:suppressAutoHyphens/>
        <w:spacing w:before="200" w:after="360" w:line="276" w:lineRule="auto"/>
        <w:jc w:val="both"/>
        <w:rPr>
          <w:rFonts w:ascii="Arial" w:eastAsia="Times New Roman" w:hAnsi="Arial" w:cs="Arial"/>
          <w:b/>
          <w:kern w:val="1"/>
          <w:sz w:val="24"/>
          <w:szCs w:val="24"/>
          <w:u w:val="single"/>
          <w:lang w:eastAsia="zh-CN" w:bidi="en-US"/>
          <w14:ligatures w14:val="none"/>
        </w:rPr>
      </w:pPr>
      <w:r w:rsidRPr="00373AB4">
        <w:rPr>
          <w:rFonts w:ascii="Arial" w:eastAsia="Times New Roman" w:hAnsi="Arial" w:cs="Arial"/>
          <w:b/>
          <w:kern w:val="1"/>
          <w:sz w:val="24"/>
          <w:szCs w:val="24"/>
          <w:u w:val="single"/>
          <w:lang w:eastAsia="zh-CN" w:bidi="en-US"/>
          <w14:ligatures w14:val="none"/>
        </w:rPr>
        <w:t>Article VIII - Confidentialité</w:t>
      </w:r>
    </w:p>
    <w:p w14:paraId="1A3CCCBB" w14:textId="321E4463" w:rsidR="0016136B" w:rsidRPr="00373AB4" w:rsidRDefault="0016136B" w:rsidP="0016136B">
      <w:pPr>
        <w:suppressAutoHyphens/>
        <w:spacing w:before="200" w:after="20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Les informations recueillies à l’occasion de la mise en œuvre de la présente convention ont un caractère strictement confidentiel : les deux parties s’interdisent toute communication écrite ou verbale concernant les marchés publics qui font l’objet de ce partenariat ainsi que toute remise de documents à des tiers, sans l’accord préalable de l’autre partie.</w:t>
      </w:r>
    </w:p>
    <w:p w14:paraId="2986DB7B" w14:textId="7B93E879" w:rsidR="0016136B" w:rsidRPr="00373AB4" w:rsidRDefault="0016136B" w:rsidP="0016136B">
      <w:pPr>
        <w:suppressAutoHyphens/>
        <w:spacing w:before="200" w:after="200" w:line="276" w:lineRule="auto"/>
        <w:jc w:val="both"/>
        <w:rPr>
          <w:rFonts w:ascii="Tahoma" w:eastAsia="Times New Roman" w:hAnsi="Tahoma" w:cs="Tahoma"/>
          <w:kern w:val="1"/>
          <w:szCs w:val="20"/>
          <w:lang w:eastAsia="zh-CN" w:bidi="en-US"/>
          <w14:ligatures w14:val="none"/>
        </w:rPr>
      </w:pPr>
      <w:r w:rsidRPr="00373AB4">
        <w:rPr>
          <w:rFonts w:ascii="Arial" w:eastAsia="Times New Roman" w:hAnsi="Arial" w:cs="Arial"/>
          <w:kern w:val="1"/>
          <w:lang w:eastAsia="zh-CN" w:bidi="en-US"/>
          <w14:ligatures w14:val="none"/>
        </w:rPr>
        <w:t xml:space="preserve">Cette clause de confidentialité couvre également l’ensemble des documents préparatoires qui auront été échangés par le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et la</w:t>
      </w:r>
      <w:r w:rsidR="004600E2">
        <w:rPr>
          <w:rFonts w:ascii="Arial" w:eastAsia="Times New Roman" w:hAnsi="Arial" w:cs="Arial"/>
          <w:kern w:val="1"/>
          <w:lang w:eastAsia="zh-CN" w:bidi="en-US"/>
          <w14:ligatures w14:val="none"/>
        </w:rPr>
        <w:t xml:space="preserve"> </w:t>
      </w:r>
      <w:r w:rsidR="003126C2" w:rsidRPr="003126C2">
        <w:rPr>
          <w:rFonts w:ascii="Arial" w:eastAsia="Times New Roman" w:hAnsi="Arial" w:cs="Arial"/>
          <w:color w:val="00B050"/>
          <w:kern w:val="1"/>
          <w:lang w:eastAsia="zh-CN" w:bidi="en-US"/>
          <w14:ligatures w14:val="none"/>
        </w:rPr>
        <w:t>structure porteuse de la clause</w:t>
      </w:r>
      <w:r w:rsidRPr="00373AB4">
        <w:rPr>
          <w:rFonts w:ascii="Arial" w:eastAsia="Times New Roman" w:hAnsi="Arial" w:cs="Arial"/>
          <w:kern w:val="1"/>
          <w:lang w:eastAsia="zh-CN" w:bidi="en-US"/>
          <w14:ligatures w14:val="none"/>
        </w:rPr>
        <w:t xml:space="preserve">, mais aussi toutes les informations contenues dans les correspondances écrites y compris les mails entre le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00A91FC7" w:rsidRPr="00373AB4">
        <w:rPr>
          <w:rFonts w:ascii="Arial" w:eastAsia="Times New Roman" w:hAnsi="Arial" w:cs="Arial"/>
          <w:kern w:val="1"/>
          <w:lang w:eastAsia="zh-CN" w:bidi="en-US"/>
          <w14:ligatures w14:val="none"/>
        </w:rPr>
        <w:t xml:space="preserve"> </w:t>
      </w:r>
      <w:r w:rsidRPr="00373AB4">
        <w:rPr>
          <w:rFonts w:ascii="Arial" w:eastAsia="Times New Roman" w:hAnsi="Arial" w:cs="Arial"/>
          <w:kern w:val="1"/>
          <w:lang w:eastAsia="zh-CN" w:bidi="en-US"/>
          <w14:ligatures w14:val="none"/>
        </w:rPr>
        <w:t>et la</w:t>
      </w:r>
      <w:r w:rsidR="004600E2">
        <w:rPr>
          <w:rFonts w:ascii="Arial" w:eastAsia="Times New Roman" w:hAnsi="Arial" w:cs="Arial"/>
          <w:color w:val="00B050"/>
          <w:kern w:val="1"/>
          <w:lang w:eastAsia="zh-CN" w:bidi="en-US"/>
          <w14:ligatures w14:val="none"/>
        </w:rPr>
        <w:t xml:space="preserve"> </w:t>
      </w:r>
      <w:r w:rsidR="003126C2" w:rsidRPr="003126C2">
        <w:rPr>
          <w:rFonts w:ascii="Arial" w:eastAsia="Times New Roman" w:hAnsi="Arial" w:cs="Arial"/>
          <w:color w:val="00B050"/>
          <w:kern w:val="1"/>
          <w:lang w:eastAsia="zh-CN" w:bidi="en-US"/>
          <w14:ligatures w14:val="none"/>
        </w:rPr>
        <w:t>structure porteuse de la clause</w:t>
      </w:r>
      <w:r w:rsidRPr="004600E2">
        <w:rPr>
          <w:rFonts w:ascii="Arial" w:eastAsia="Times New Roman" w:hAnsi="Arial" w:cs="Arial"/>
          <w:kern w:val="1"/>
          <w:lang w:eastAsia="zh-CN" w:bidi="en-US"/>
          <w14:ligatures w14:val="none"/>
        </w:rPr>
        <w:t xml:space="preserve">, </w:t>
      </w:r>
      <w:r w:rsidRPr="00373AB4">
        <w:rPr>
          <w:rFonts w:ascii="Arial" w:eastAsia="Times New Roman" w:hAnsi="Arial" w:cs="Arial"/>
          <w:kern w:val="1"/>
          <w:lang w:eastAsia="zh-CN" w:bidi="en-US"/>
          <w14:ligatures w14:val="none"/>
        </w:rPr>
        <w:t>sous réserve, pour le premier, du droit de communication applicable aux documents administratifs.</w:t>
      </w:r>
    </w:p>
    <w:p w14:paraId="359EC458" w14:textId="77777777" w:rsidR="0016136B" w:rsidRPr="00373AB4" w:rsidRDefault="0016136B" w:rsidP="0016136B">
      <w:pPr>
        <w:suppressAutoHyphens/>
        <w:spacing w:before="200" w:after="360" w:line="276" w:lineRule="auto"/>
        <w:jc w:val="both"/>
        <w:rPr>
          <w:rFonts w:ascii="Arial" w:eastAsia="Times New Roman" w:hAnsi="Arial" w:cs="Arial"/>
          <w:kern w:val="1"/>
          <w:lang w:eastAsia="zh-CN" w:bidi="en-US"/>
          <w14:ligatures w14:val="none"/>
        </w:rPr>
      </w:pPr>
      <w:r w:rsidRPr="00373AB4">
        <w:rPr>
          <w:rFonts w:ascii="Arial" w:eastAsia="Times New Roman" w:hAnsi="Arial" w:cs="Arial"/>
          <w:b/>
          <w:kern w:val="1"/>
          <w:sz w:val="24"/>
          <w:szCs w:val="24"/>
          <w:u w:val="single"/>
          <w:lang w:eastAsia="zh-CN" w:bidi="en-US"/>
          <w14:ligatures w14:val="none"/>
        </w:rPr>
        <w:t>Article IX – Communication</w:t>
      </w:r>
    </w:p>
    <w:p w14:paraId="26DF2276" w14:textId="3149C73E" w:rsidR="0016136B" w:rsidRPr="00373AB4" w:rsidRDefault="0016136B" w:rsidP="0016136B">
      <w:pPr>
        <w:suppressAutoHyphens/>
        <w:spacing w:after="12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 xml:space="preserve">Toute publication ou communication du </w:t>
      </w: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 xml:space="preserve"> sur l’engagement socialement responsable fait mention du partenariat établi avec la</w:t>
      </w:r>
      <w:r w:rsidR="003126C2" w:rsidRPr="003126C2">
        <w:rPr>
          <w:rFonts w:ascii="Arial" w:eastAsia="Times New Roman" w:hAnsi="Arial" w:cs="Arial"/>
          <w:color w:val="00B050"/>
          <w:kern w:val="1"/>
          <w:lang w:eastAsia="zh-CN" w:bidi="en-US"/>
          <w14:ligatures w14:val="none"/>
        </w:rPr>
        <w:t xml:space="preserve"> structure porteuse de la clause</w:t>
      </w:r>
      <w:r w:rsidRPr="00373AB4">
        <w:rPr>
          <w:rFonts w:ascii="Arial" w:eastAsia="Times New Roman" w:hAnsi="Arial" w:cs="Arial"/>
          <w:kern w:val="1"/>
          <w:lang w:eastAsia="zh-CN" w:bidi="en-US"/>
          <w14:ligatures w14:val="none"/>
        </w:rPr>
        <w:t>.</w:t>
      </w:r>
    </w:p>
    <w:p w14:paraId="5939CF13" w14:textId="77777777"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p>
    <w:p w14:paraId="19C9ED50" w14:textId="77777777"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r w:rsidRPr="00373AB4">
        <w:rPr>
          <w:rFonts w:ascii="Arial" w:eastAsia="Times New Roman" w:hAnsi="Arial" w:cs="Arial"/>
          <w:kern w:val="1"/>
          <w:lang w:eastAsia="zh-CN" w:bidi="en-US"/>
          <w14:ligatures w14:val="none"/>
        </w:rPr>
        <w:t>La convention est établie en 2 exemplaires</w:t>
      </w:r>
    </w:p>
    <w:p w14:paraId="72A1CEA1" w14:textId="77777777"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p>
    <w:p w14:paraId="4480FC03" w14:textId="77777777" w:rsidR="0016136B" w:rsidRPr="00373AB4" w:rsidRDefault="0016136B" w:rsidP="0016136B">
      <w:pPr>
        <w:suppressAutoHyphens/>
        <w:spacing w:after="0" w:line="276" w:lineRule="auto"/>
        <w:jc w:val="both"/>
        <w:rPr>
          <w:rFonts w:ascii="Arial" w:eastAsia="Times New Roman" w:hAnsi="Arial" w:cs="Arial"/>
          <w:kern w:val="1"/>
          <w:lang w:eastAsia="zh-CN" w:bidi="en-US"/>
          <w14:ligatures w14:val="none"/>
        </w:rPr>
      </w:pPr>
    </w:p>
    <w:p w14:paraId="2350CCF1" w14:textId="6CEE550D" w:rsidR="0016136B" w:rsidRPr="00373AB4" w:rsidRDefault="0016136B" w:rsidP="0016136B">
      <w:pPr>
        <w:suppressAutoHyphens/>
        <w:spacing w:after="0" w:line="276" w:lineRule="auto"/>
        <w:jc w:val="both"/>
        <w:rPr>
          <w:rFonts w:ascii="Tahoma" w:eastAsia="Times New Roman" w:hAnsi="Tahoma" w:cs="Tahoma"/>
          <w:kern w:val="1"/>
          <w:szCs w:val="20"/>
          <w:lang w:eastAsia="zh-CN" w:bidi="en-US"/>
          <w14:ligatures w14:val="none"/>
        </w:rPr>
      </w:pPr>
      <w:r w:rsidRPr="00373AB4">
        <w:rPr>
          <w:rFonts w:ascii="Arial" w:eastAsia="Times New Roman" w:hAnsi="Arial" w:cs="Arial"/>
          <w:kern w:val="1"/>
          <w:lang w:eastAsia="zh-CN" w:bidi="en-US"/>
          <w14:ligatures w14:val="none"/>
        </w:rPr>
        <w:t xml:space="preserve">Fait à </w:t>
      </w:r>
      <w:r w:rsidR="004600E2">
        <w:rPr>
          <w:rFonts w:ascii="Arial" w:eastAsia="Times New Roman" w:hAnsi="Arial" w:cs="Arial"/>
          <w:kern w:val="1"/>
          <w:lang w:eastAsia="zh-CN" w:bidi="en-US"/>
          <w14:ligatures w14:val="none"/>
        </w:rPr>
        <w:t xml:space="preserve">                                                                        </w:t>
      </w:r>
      <w:r w:rsidRPr="00373AB4">
        <w:rPr>
          <w:rFonts w:ascii="Arial" w:eastAsia="Times New Roman" w:hAnsi="Arial" w:cs="Arial"/>
          <w:kern w:val="1"/>
          <w:lang w:eastAsia="zh-CN" w:bidi="en-US"/>
          <w14:ligatures w14:val="none"/>
        </w:rPr>
        <w:t xml:space="preserve">le </w:t>
      </w:r>
    </w:p>
    <w:p w14:paraId="6DD308D3" w14:textId="5D9B92B9" w:rsidR="0016136B" w:rsidRPr="00373AB4" w:rsidRDefault="0016136B" w:rsidP="0016136B">
      <w:pPr>
        <w:tabs>
          <w:tab w:val="left" w:pos="7797"/>
        </w:tabs>
        <w:suppressAutoHyphens/>
        <w:spacing w:before="200" w:after="200" w:line="276" w:lineRule="auto"/>
        <w:jc w:val="both"/>
        <w:rPr>
          <w:rFonts w:ascii="Arial" w:eastAsia="Arial" w:hAnsi="Arial" w:cs="Arial"/>
          <w:kern w:val="1"/>
          <w:lang w:eastAsia="zh-CN" w:bidi="en-US"/>
          <w14:ligatures w14:val="none"/>
        </w:rPr>
      </w:pPr>
      <w:r w:rsidRPr="003126C2">
        <w:rPr>
          <w:rFonts w:ascii="Arial" w:eastAsia="Arial" w:hAnsi="Arial" w:cs="Arial"/>
          <w:kern w:val="1"/>
          <w:lang w:eastAsia="zh-CN" w:bidi="en-US"/>
          <w14:ligatures w14:val="none"/>
        </w:rPr>
        <w:t>XXXXXX</w:t>
      </w:r>
      <w:r w:rsidR="004600E2">
        <w:rPr>
          <w:rFonts w:ascii="Arial" w:eastAsia="Arial" w:hAnsi="Arial" w:cs="Arial"/>
          <w:kern w:val="1"/>
          <w:lang w:eastAsia="zh-CN" w:bidi="en-US"/>
          <w14:ligatures w14:val="none"/>
        </w:rPr>
        <w:t xml:space="preserve">                                                                                              </w:t>
      </w:r>
      <w:proofErr w:type="spellStart"/>
      <w:r w:rsidR="003126C2">
        <w:rPr>
          <w:rFonts w:ascii="Arial" w:eastAsia="Arial" w:hAnsi="Arial" w:cs="Arial"/>
          <w:kern w:val="1"/>
          <w:lang w:eastAsia="zh-CN" w:bidi="en-US"/>
          <w14:ligatures w14:val="none"/>
        </w:rPr>
        <w:t>XXXXXX</w:t>
      </w:r>
      <w:proofErr w:type="spellEnd"/>
    </w:p>
    <w:p w14:paraId="5406673C" w14:textId="2EDF73E0" w:rsidR="0016136B" w:rsidRPr="00373AB4" w:rsidRDefault="004600E2" w:rsidP="0016136B">
      <w:pPr>
        <w:tabs>
          <w:tab w:val="left" w:pos="7655"/>
        </w:tabs>
        <w:suppressAutoHyphens/>
        <w:spacing w:before="200" w:after="200" w:line="276" w:lineRule="auto"/>
        <w:jc w:val="both"/>
        <w:rPr>
          <w:rFonts w:ascii="Arial" w:eastAsia="Times New Roman" w:hAnsi="Arial" w:cs="Arial"/>
          <w:kern w:val="1"/>
          <w:lang w:eastAsia="zh-CN" w:bidi="en-US"/>
          <w14:ligatures w14:val="none"/>
        </w:rPr>
      </w:pPr>
      <w:r>
        <w:rPr>
          <w:rFonts w:ascii="Arial" w:eastAsia="Arial" w:hAnsi="Arial" w:cs="Arial"/>
          <w:kern w:val="1"/>
          <w:lang w:eastAsia="zh-CN" w:bidi="en-US"/>
          <w14:ligatures w14:val="none"/>
        </w:rPr>
        <w:t>Président</w:t>
      </w:r>
      <w:r w:rsidR="0016136B" w:rsidRPr="00373AB4">
        <w:rPr>
          <w:rFonts w:ascii="Arial" w:eastAsia="Arial" w:hAnsi="Arial" w:cs="Arial"/>
          <w:kern w:val="1"/>
          <w:lang w:eastAsia="zh-CN" w:bidi="en-US"/>
          <w14:ligatures w14:val="none"/>
        </w:rPr>
        <w:t xml:space="preserve"> </w:t>
      </w:r>
      <w:r>
        <w:rPr>
          <w:rFonts w:ascii="Arial" w:eastAsia="Arial" w:hAnsi="Arial" w:cs="Arial"/>
          <w:kern w:val="1"/>
          <w:lang w:eastAsia="zh-CN" w:bidi="en-US"/>
          <w14:ligatures w14:val="none"/>
        </w:rPr>
        <w:t xml:space="preserve">                                                                                            Directeur Général</w:t>
      </w:r>
    </w:p>
    <w:p w14:paraId="14B347E2" w14:textId="3E4EBDC8" w:rsidR="0016136B" w:rsidRPr="00373AB4" w:rsidRDefault="0016136B" w:rsidP="0016136B">
      <w:pPr>
        <w:tabs>
          <w:tab w:val="left" w:pos="3686"/>
          <w:tab w:val="left" w:pos="5670"/>
        </w:tabs>
        <w:suppressAutoHyphens/>
        <w:spacing w:after="0" w:line="276" w:lineRule="auto"/>
        <w:jc w:val="both"/>
        <w:rPr>
          <w:rFonts w:ascii="Tahoma" w:eastAsia="Times New Roman" w:hAnsi="Tahoma" w:cs="Tahoma"/>
          <w:kern w:val="1"/>
          <w:szCs w:val="20"/>
          <w:lang w:eastAsia="zh-CN" w:bidi="en-US"/>
          <w14:ligatures w14:val="none"/>
        </w:rPr>
      </w:pPr>
      <w:r w:rsidRPr="00373AB4">
        <w:rPr>
          <w:rFonts w:ascii="Arial" w:eastAsia="Times New Roman" w:hAnsi="Arial" w:cs="Arial"/>
          <w:color w:val="548DD4"/>
          <w:kern w:val="1"/>
          <w:lang w:eastAsia="zh-CN" w:bidi="en-US"/>
          <w14:ligatures w14:val="none"/>
        </w:rPr>
        <w:t xml:space="preserve">Nom du </w:t>
      </w:r>
      <w:r w:rsidR="00A91FC7">
        <w:rPr>
          <w:rFonts w:ascii="Arial" w:eastAsia="Times New Roman" w:hAnsi="Arial" w:cs="Arial"/>
          <w:color w:val="548DD4"/>
          <w:kern w:val="1"/>
          <w:lang w:eastAsia="zh-CN" w:bidi="en-US"/>
          <w14:ligatures w14:val="none"/>
        </w:rPr>
        <w:t>Donneur d’Ordre</w:t>
      </w:r>
      <w:r w:rsidRPr="00373AB4">
        <w:rPr>
          <w:rFonts w:ascii="Arial" w:eastAsia="Times New Roman" w:hAnsi="Arial" w:cs="Arial"/>
          <w:kern w:val="1"/>
          <w:lang w:eastAsia="zh-CN" w:bidi="en-US"/>
          <w14:ligatures w14:val="none"/>
        </w:rPr>
        <w:tab/>
      </w:r>
      <w:r w:rsidR="00A91FC7">
        <w:rPr>
          <w:rFonts w:ascii="Arial" w:eastAsia="Times New Roman" w:hAnsi="Arial" w:cs="Arial"/>
          <w:kern w:val="1"/>
          <w:lang w:eastAsia="zh-CN" w:bidi="en-US"/>
          <w14:ligatures w14:val="none"/>
        </w:rPr>
        <w:tab/>
      </w:r>
      <w:r w:rsidRPr="00373AB4">
        <w:rPr>
          <w:rFonts w:ascii="Arial" w:eastAsia="Times New Roman" w:hAnsi="Arial" w:cs="Arial"/>
          <w:color w:val="00B050"/>
          <w:kern w:val="1"/>
          <w:lang w:eastAsia="zh-CN" w:bidi="en-US"/>
          <w14:ligatures w14:val="none"/>
        </w:rPr>
        <w:t xml:space="preserve"> </w:t>
      </w:r>
      <w:r w:rsidR="003126C2" w:rsidRPr="003126C2">
        <w:rPr>
          <w:rFonts w:ascii="Arial" w:eastAsia="Times New Roman" w:hAnsi="Arial" w:cs="Arial"/>
          <w:color w:val="00B050"/>
          <w:kern w:val="1"/>
          <w:lang w:eastAsia="zh-CN" w:bidi="en-US"/>
          <w14:ligatures w14:val="none"/>
        </w:rPr>
        <w:t>structure porteuse de la clause</w:t>
      </w:r>
    </w:p>
    <w:p w14:paraId="3CD96FD6" w14:textId="77777777" w:rsidR="0016136B" w:rsidRPr="00373AB4" w:rsidRDefault="0016136B" w:rsidP="0016136B">
      <w:pPr>
        <w:rPr>
          <w:b/>
          <w:bCs/>
        </w:rPr>
      </w:pPr>
    </w:p>
    <w:p w14:paraId="7CA42A33" w14:textId="77777777" w:rsidR="0016136B" w:rsidRPr="00373AB4" w:rsidRDefault="0016136B" w:rsidP="0016136B">
      <w:pPr>
        <w:rPr>
          <w:b/>
          <w:bCs/>
        </w:rPr>
      </w:pPr>
    </w:p>
    <w:p w14:paraId="1D0811A6" w14:textId="77777777" w:rsidR="00AB39F3" w:rsidRDefault="00AB39F3"/>
    <w:sectPr w:rsidR="00AB39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AE77" w14:textId="77777777" w:rsidR="008C7B7D" w:rsidRDefault="008C7B7D" w:rsidP="00F85D8E">
      <w:pPr>
        <w:spacing w:after="0" w:line="240" w:lineRule="auto"/>
      </w:pPr>
      <w:r>
        <w:separator/>
      </w:r>
    </w:p>
  </w:endnote>
  <w:endnote w:type="continuationSeparator" w:id="0">
    <w:p w14:paraId="1D6AE2BC" w14:textId="77777777" w:rsidR="008C7B7D" w:rsidRDefault="008C7B7D" w:rsidP="00F8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15F" w14:textId="241ECD92" w:rsidR="00F85D8E" w:rsidRPr="00F85D8E" w:rsidRDefault="000E5BBD" w:rsidP="00F85D8E">
    <w:pPr>
      <w:pStyle w:val="Pieddepage"/>
    </w:pPr>
    <w:r>
      <w:rPr>
        <w:rFonts w:ascii="Times New Roman" w:hAnsi="Times New Roman" w:cs="Times New Roman"/>
        <w:noProof/>
        <w:sz w:val="24"/>
        <w:szCs w:val="24"/>
        <w:lang w:eastAsia="fr-FR"/>
      </w:rPr>
      <w:drawing>
        <wp:inline distT="0" distB="0" distL="0" distR="0" wp14:anchorId="2527D4DC" wp14:editId="041DB53F">
          <wp:extent cx="1417320" cy="512168"/>
          <wp:effectExtent l="0" t="0" r="0" b="2540"/>
          <wp:docPr id="1157671282" name="Image 3" descr="Une image contenant texte, Polic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71282" name="Image 3" descr="Une image contenant texte, Police, capture d’écran, conception&#10;&#10;Le contenu généré par l’IA peut êtr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9382" cy="523754"/>
                  </a:xfrm>
                  <a:prstGeom prst="rect">
                    <a:avLst/>
                  </a:prstGeom>
                  <a:noFill/>
                  <a:ln>
                    <a:noFill/>
                  </a:ln>
                </pic:spPr>
              </pic:pic>
            </a:graphicData>
          </a:graphic>
        </wp:inline>
      </w:drawing>
    </w:r>
    <w:r>
      <w:tab/>
    </w:r>
    <w:r>
      <w:tab/>
    </w:r>
    <w:r>
      <w:rPr>
        <w:noProof/>
        <w:color w:val="000000"/>
      </w:rPr>
      <w:drawing>
        <wp:inline distT="0" distB="0" distL="0" distR="0" wp14:anchorId="132CC9BB" wp14:editId="37EDF2D0">
          <wp:extent cx="1051560" cy="403860"/>
          <wp:effectExtent l="0" t="0" r="15240" b="15240"/>
          <wp:docPr id="284850552" name="Image 4" descr="Une image contenant étoile, drapeau, symbole, ble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50552" name="Image 4" descr="Une image contenant étoile, drapeau, symbole, bleu&#10;&#10;Le contenu généré par l’IA peut être incorrect."/>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51560" cy="403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C388" w14:textId="77777777" w:rsidR="008C7B7D" w:rsidRDefault="008C7B7D" w:rsidP="00F85D8E">
      <w:pPr>
        <w:spacing w:after="0" w:line="240" w:lineRule="auto"/>
      </w:pPr>
      <w:r>
        <w:separator/>
      </w:r>
    </w:p>
  </w:footnote>
  <w:footnote w:type="continuationSeparator" w:id="0">
    <w:p w14:paraId="08EE3863" w14:textId="77777777" w:rsidR="008C7B7D" w:rsidRDefault="008C7B7D" w:rsidP="00F85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17CD" w14:textId="2C0B7CF2" w:rsidR="00F85D8E" w:rsidRDefault="00C119B4">
    <w:pPr>
      <w:pStyle w:val="En-tte"/>
    </w:pPr>
    <w:r w:rsidRPr="00C119B4">
      <w:rPr>
        <w:noProof/>
      </w:rPr>
      <w:ptab w:relativeTo="margin" w:alignment="center" w:leader="none"/>
    </w:r>
    <w:r w:rsidRPr="00C119B4">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5"/>
    <w:multiLevelType w:val="multilevel"/>
    <w:tmpl w:val="00000005"/>
    <w:name w:val="WW8Num5"/>
    <w:lvl w:ilvl="0">
      <w:start w:val="1"/>
      <w:numFmt w:val="bullet"/>
      <w:lvlText w:val=""/>
      <w:lvlJc w:val="left"/>
      <w:pPr>
        <w:tabs>
          <w:tab w:val="num" w:pos="0"/>
        </w:tabs>
        <w:ind w:left="1068" w:hanging="360"/>
      </w:pPr>
      <w:rPr>
        <w:rFonts w:ascii="Symbol" w:hAnsi="Symbol" w:cs="Symbol" w:hint="default"/>
      </w:rPr>
    </w:lvl>
    <w:lvl w:ilvl="1">
      <w:numFmt w:val="bullet"/>
      <w:lvlText w:val="-"/>
      <w:lvlJc w:val="left"/>
      <w:pPr>
        <w:tabs>
          <w:tab w:val="num" w:pos="0"/>
        </w:tabs>
        <w:ind w:left="1788" w:hanging="360"/>
      </w:pPr>
      <w:rPr>
        <w:rFonts w:ascii="Times New Roman" w:hAnsi="Times New Roman" w:cs="Times New Roman" w:hint="default"/>
        <w:b/>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szCs w:val="22"/>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hint="default"/>
        <w:szCs w:val="22"/>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068" w:hanging="360"/>
      </w:pPr>
      <w:rPr>
        <w:rFonts w:ascii="Symbol" w:hAnsi="Symbol" w:cs="Symbol" w:hint="default"/>
      </w:rPr>
    </w:lvl>
  </w:abstractNum>
  <w:num w:numId="1" w16cid:durableId="1823616938">
    <w:abstractNumId w:val="0"/>
  </w:num>
  <w:num w:numId="2" w16cid:durableId="578753147">
    <w:abstractNumId w:val="1"/>
  </w:num>
  <w:num w:numId="3" w16cid:durableId="35744028">
    <w:abstractNumId w:val="2"/>
  </w:num>
  <w:num w:numId="4" w16cid:durableId="905072429">
    <w:abstractNumId w:val="3"/>
  </w:num>
  <w:num w:numId="5" w16cid:durableId="735125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36B"/>
    <w:rsid w:val="000A2002"/>
    <w:rsid w:val="000E5BBD"/>
    <w:rsid w:val="0016136B"/>
    <w:rsid w:val="001C61D8"/>
    <w:rsid w:val="00207761"/>
    <w:rsid w:val="002D6497"/>
    <w:rsid w:val="002F160D"/>
    <w:rsid w:val="0030420B"/>
    <w:rsid w:val="003126C2"/>
    <w:rsid w:val="0031445A"/>
    <w:rsid w:val="00332E1D"/>
    <w:rsid w:val="003C1755"/>
    <w:rsid w:val="004600E2"/>
    <w:rsid w:val="00461280"/>
    <w:rsid w:val="0050580C"/>
    <w:rsid w:val="00533535"/>
    <w:rsid w:val="00664461"/>
    <w:rsid w:val="007647EC"/>
    <w:rsid w:val="00822DB1"/>
    <w:rsid w:val="0083383A"/>
    <w:rsid w:val="0088613B"/>
    <w:rsid w:val="008C7B7D"/>
    <w:rsid w:val="008D0548"/>
    <w:rsid w:val="008E4A23"/>
    <w:rsid w:val="0096704C"/>
    <w:rsid w:val="009723D7"/>
    <w:rsid w:val="009C158B"/>
    <w:rsid w:val="009E4C9D"/>
    <w:rsid w:val="00A27401"/>
    <w:rsid w:val="00A91FC7"/>
    <w:rsid w:val="00A9282A"/>
    <w:rsid w:val="00AB39F3"/>
    <w:rsid w:val="00AD0D0B"/>
    <w:rsid w:val="00C119B4"/>
    <w:rsid w:val="00C130B2"/>
    <w:rsid w:val="00C310A9"/>
    <w:rsid w:val="00C57A45"/>
    <w:rsid w:val="00C65874"/>
    <w:rsid w:val="00D31A5D"/>
    <w:rsid w:val="00DA57EF"/>
    <w:rsid w:val="00DE6606"/>
    <w:rsid w:val="00E95A43"/>
    <w:rsid w:val="00F1019A"/>
    <w:rsid w:val="00F85D8E"/>
    <w:rsid w:val="00FB075D"/>
    <w:rsid w:val="00FD04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35F5"/>
  <w15:chartTrackingRefBased/>
  <w15:docId w15:val="{016E1023-B90A-4320-84D1-FE247E41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85D8E"/>
    <w:pPr>
      <w:tabs>
        <w:tab w:val="center" w:pos="4536"/>
        <w:tab w:val="right" w:pos="9072"/>
      </w:tabs>
      <w:spacing w:after="0" w:line="240" w:lineRule="auto"/>
    </w:pPr>
  </w:style>
  <w:style w:type="character" w:customStyle="1" w:styleId="En-tteCar">
    <w:name w:val="En-tête Car"/>
    <w:basedOn w:val="Policepardfaut"/>
    <w:link w:val="En-tte"/>
    <w:uiPriority w:val="99"/>
    <w:rsid w:val="00F85D8E"/>
  </w:style>
  <w:style w:type="paragraph" w:styleId="Pieddepage">
    <w:name w:val="footer"/>
    <w:basedOn w:val="Normal"/>
    <w:link w:val="PieddepageCar"/>
    <w:uiPriority w:val="99"/>
    <w:unhideWhenUsed/>
    <w:rsid w:val="00F85D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jpg@01DB844B.34050740" TargetMode="External"/><Relationship Id="rId1" Type="http://schemas.openxmlformats.org/officeDocument/2006/relationships/image" Target="media/image2.jpeg"/><Relationship Id="rId4" Type="http://schemas.openxmlformats.org/officeDocument/2006/relationships/image" Target="cid:a21b5cb9-f3df-4105-a7af-e77e5a14dab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1727</Words>
  <Characters>9502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VASSEUR</dc:creator>
  <cp:keywords/>
  <dc:description/>
  <cp:lastModifiedBy>Hugo VANDAMME</cp:lastModifiedBy>
  <cp:revision>2</cp:revision>
  <dcterms:created xsi:type="dcterms:W3CDTF">2025-04-24T13:35:00Z</dcterms:created>
  <dcterms:modified xsi:type="dcterms:W3CDTF">2025-04-24T13:35:00Z</dcterms:modified>
</cp:coreProperties>
</file>